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504B6">
      <w:pPr>
        <w:widowControl/>
        <w:spacing w:after="240" w:afterLines="100" w:line="400" w:lineRule="atLeast"/>
        <w:ind w:firstLine="660" w:firstLineChars="150"/>
        <w:jc w:val="center"/>
        <w:rPr>
          <w:rFonts w:hint="eastAsia" w:ascii="黑体" w:hAnsi="黑体" w:eastAsia="黑体"/>
          <w:sz w:val="44"/>
          <w:szCs w:val="44"/>
        </w:rPr>
      </w:pPr>
      <w:r>
        <w:rPr>
          <w:rFonts w:hint="eastAsia" w:ascii="黑体" w:hAnsi="黑体" w:eastAsia="黑体"/>
          <w:sz w:val="44"/>
          <w:szCs w:val="44"/>
        </w:rPr>
        <w:t>政府采购合同格式</w:t>
      </w:r>
    </w:p>
    <w:p w14:paraId="549F908A">
      <w:pPr>
        <w:pStyle w:val="1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 xml:space="preserve">合同编号： </w:t>
      </w:r>
    </w:p>
    <w:p w14:paraId="0FB08675">
      <w:pPr>
        <w:pStyle w:val="1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 xml:space="preserve">签订地点： </w:t>
      </w:r>
    </w:p>
    <w:p w14:paraId="3FE93EBE">
      <w:pPr>
        <w:pStyle w:val="1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签订时间:</w:t>
      </w:r>
    </w:p>
    <w:p w14:paraId="670DD117">
      <w:pPr>
        <w:pStyle w:val="1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采购人（甲方）：</w:t>
      </w:r>
    </w:p>
    <w:p w14:paraId="2D8D30F8">
      <w:pPr>
        <w:pStyle w:val="1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供应商（乙方）：</w:t>
      </w:r>
    </w:p>
    <w:p w14:paraId="2FEC4F84">
      <w:pPr>
        <w:pStyle w:val="1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根据《中华人民共和国政府采购法》及实施条例、《中华人民共和国民法典》和甲方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采购项目（采购项目编号</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rPr>
        <w:t>的招标文件、投标文件等有关规定，为确保甲方采购项目的顺利实施，甲、乙双方在平等自愿原则下签订本合同，并共同遵守如下条款：</w:t>
      </w:r>
    </w:p>
    <w:p w14:paraId="37185884">
      <w:pPr>
        <w:pageBreakBefore w:val="0"/>
        <w:numPr>
          <w:ilvl w:val="0"/>
          <w:numId w:val="1"/>
        </w:numPr>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项目基本情况</w:t>
      </w:r>
    </w:p>
    <w:p w14:paraId="280B4F6C">
      <w:pPr>
        <w:pageBreakBefore w:val="0"/>
        <w:kinsoku/>
        <w:wordWrap/>
        <w:overflowPunct/>
        <w:topLinePunct w:val="0"/>
        <w:autoSpaceDE/>
        <w:autoSpaceDN/>
        <w:bidi w:val="0"/>
        <w:snapToGrid/>
        <w:spacing w:line="360" w:lineRule="auto"/>
        <w:ind w:left="0" w:firstLine="488" w:firstLineChars="200"/>
        <w:rPr>
          <w:rFonts w:hint="eastAsia" w:ascii="宋体" w:hAnsi="宋体" w:eastAsia="宋体" w:cs="宋体"/>
          <w:b/>
          <w:sz w:val="24"/>
          <w:szCs w:val="24"/>
        </w:rPr>
      </w:pPr>
      <w:r>
        <w:rPr>
          <w:rFonts w:hint="eastAsia" w:ascii="宋体" w:hAnsi="宋体" w:eastAsia="宋体" w:cs="宋体"/>
          <w:spacing w:val="2"/>
          <w:sz w:val="24"/>
          <w:szCs w:val="24"/>
        </w:rPr>
        <w:t>开展社会救助入户调查、政策宣传、分散供养月探访、防返贫监测对象入户调查、电话回访调查、公示栏和明白卡、档案管理，积极开展“物质+服务”、发挥“主动发现”机制作用等;需满足的要求:加强基层社会救助经办服务能力，有效满足困难群众基本救助需求，提高社会救助服务水平和效率。</w:t>
      </w:r>
    </w:p>
    <w:p w14:paraId="557F9877">
      <w:pPr>
        <w:pageBreakBefore w:val="0"/>
        <w:numPr>
          <w:ilvl w:val="0"/>
          <w:numId w:val="1"/>
        </w:numPr>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合同期限</w:t>
      </w:r>
    </w:p>
    <w:p w14:paraId="57788913">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rPr>
        <w:t>年，自</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年   月   日</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年   月   日</w:t>
      </w:r>
    </w:p>
    <w:p w14:paraId="517EF111">
      <w:pPr>
        <w:pageBreakBefore w:val="0"/>
        <w:numPr>
          <w:ilvl w:val="0"/>
          <w:numId w:val="1"/>
        </w:numPr>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bookmarkStart w:id="0" w:name="_Toc286993786"/>
      <w:bookmarkStart w:id="1" w:name="_Toc225670751"/>
      <w:bookmarkStart w:id="2" w:name="_Toc211854449"/>
      <w:bookmarkStart w:id="3" w:name="_Toc241833903"/>
      <w:bookmarkStart w:id="4" w:name="_Toc239568418"/>
      <w:bookmarkStart w:id="5" w:name="_Toc238984975"/>
      <w:bookmarkStart w:id="6" w:name="_Toc282696226"/>
      <w:bookmarkStart w:id="7" w:name="_Toc225654644"/>
      <w:bookmarkStart w:id="8" w:name="_Toc251768862"/>
      <w:bookmarkStart w:id="9" w:name="_Toc185395249"/>
      <w:bookmarkStart w:id="10" w:name="_Toc225244852"/>
      <w:bookmarkStart w:id="11" w:name="_Toc212019594"/>
      <w:bookmarkStart w:id="12" w:name="_Toc232492928"/>
      <w:bookmarkStart w:id="13" w:name="_Toc237145406"/>
      <w:bookmarkStart w:id="14" w:name="_Toc247334841"/>
      <w:bookmarkStart w:id="15" w:name="_Toc283019214"/>
      <w:bookmarkStart w:id="16" w:name="_Toc239233914"/>
      <w:bookmarkStart w:id="17" w:name="_Toc211911348"/>
      <w:r>
        <w:rPr>
          <w:rFonts w:hint="eastAsia" w:ascii="宋体" w:hAnsi="宋体" w:eastAsia="宋体" w:cs="宋体"/>
          <w:b/>
          <w:sz w:val="24"/>
          <w:szCs w:val="24"/>
        </w:rPr>
        <w:t>服务内容与质量标准</w:t>
      </w:r>
    </w:p>
    <w:p w14:paraId="646BC7CB">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服务内容：积极开展“物质+服务”、发挥“主动发现”机制作用、开展社会救助入户调查、政策宣传、分散供养月探访、防返贫监测对象入户调查、电话回访调查、公示栏和明白卡、档案管理等内容。</w:t>
      </w:r>
    </w:p>
    <w:p w14:paraId="710417B4">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月对我区在册分散供养特困人员进行探访;对新增城乡低保、特困供养、临时救助、防返贫监测户等对象进行入户调查;检查各街道，各村(社区)公示栏内容是否及时更新;每年对在册城乡低保、分散特困供养等对象进行复审，并查看户内明白卡是否齐全、完整;及时整理入户、探访等相关档案。具体服务内容如下：</w:t>
      </w:r>
    </w:p>
    <w:p w14:paraId="3491FBF4">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lang w:val="en-US" w:eastAsia="zh-CN"/>
        </w:rPr>
        <w:t>经办最低生活保障、特困人员救助供养、临时救助等服务对象的排查、家庭调查、业务培训、政策宣传绩效评价等工作。</w:t>
      </w:r>
    </w:p>
    <w:p w14:paraId="2D5E6F25">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（1）社会救助服务：协助开展城乡低保、民政低保边缘认定、城乡困难群众临时救助等工作，包括申请受理、入户调查、资料审核、公示监督等，确保救助对象符合条件，救助资金精准发放。</w:t>
      </w:r>
    </w:p>
    <w:p w14:paraId="79A94C3C">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（2）政策宣传与资料管理：开展民政相关政策宣传，提高群众对民政政策的知晓率。同时，负责建立民政工作台账，做好相关资料的收集、整理、存档工作，确保资料完整、准确、可查。</w:t>
      </w:r>
    </w:p>
    <w:p w14:paraId="4F5A898C">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1.2</w:t>
      </w:r>
      <w:r>
        <w:rPr>
          <w:rFonts w:hint="eastAsia" w:ascii="宋体" w:hAnsi="宋体" w:eastAsia="宋体" w:cs="宋体"/>
          <w:sz w:val="24"/>
          <w:szCs w:val="24"/>
          <w:highlight w:val="none"/>
          <w:lang w:val="en-US" w:eastAsia="zh-CN"/>
        </w:rPr>
        <w:t>入户调查：对低收入人口认定申请、临时救助申请、教育资助申请的家庭基本情况和经济状况的调查核实；在册最低生活保障对象、特困人员救助供养的复核；最低生活保障家庭、特困人员救助供养等民政社会救助政策落实情况；民政部门认定的与社会救助有关对象的调查。</w:t>
      </w:r>
    </w:p>
    <w:p w14:paraId="79923ABC">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1.3</w:t>
      </w:r>
      <w:r>
        <w:rPr>
          <w:rFonts w:hint="eastAsia" w:ascii="宋体" w:hAnsi="宋体" w:eastAsia="宋体" w:cs="宋体"/>
          <w:sz w:val="24"/>
          <w:szCs w:val="24"/>
          <w:highlight w:val="none"/>
          <w:lang w:val="en-US" w:eastAsia="zh-CN"/>
        </w:rPr>
        <w:t>发挥"主动发现"机制作用：主动摸排疑似符合最低生活保障、特困人员救助供养等社会救助政策的城乡居民家庭，做好情况记录，并及时向街道和区民政局报告。</w:t>
      </w:r>
    </w:p>
    <w:p w14:paraId="3BEAF846">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1.4</w:t>
      </w:r>
      <w:r>
        <w:rPr>
          <w:rFonts w:hint="eastAsia" w:ascii="宋体" w:hAnsi="宋体" w:eastAsia="宋体" w:cs="宋体"/>
          <w:sz w:val="24"/>
          <w:szCs w:val="24"/>
          <w:highlight w:val="none"/>
          <w:lang w:val="en-US" w:eastAsia="zh-CN"/>
        </w:rPr>
        <w:t>参与民主评议：参与公示有异议的救助申请家庭民主评议会，对申请对象的家庭收入、财产状况以及家庭经济状况和实际生活情况等调查情况进行汇报。</w:t>
      </w:r>
    </w:p>
    <w:p w14:paraId="23D0EF52">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1.5</w:t>
      </w:r>
      <w:r>
        <w:rPr>
          <w:rFonts w:hint="eastAsia" w:ascii="宋体" w:hAnsi="宋体" w:eastAsia="宋体" w:cs="宋体"/>
          <w:sz w:val="24"/>
          <w:szCs w:val="24"/>
          <w:highlight w:val="none"/>
          <w:lang w:val="en-US" w:eastAsia="zh-CN"/>
        </w:rPr>
        <w:t>公示检查：对各行政村、街道（社区）的社会救助公示栏、公示内容进行监督检查，对发现的问题及时报告街办和区民政局。</w:t>
      </w:r>
    </w:p>
    <w:p w14:paraId="74CC9BBA">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1.6</w:t>
      </w:r>
      <w:r>
        <w:rPr>
          <w:rFonts w:hint="eastAsia" w:ascii="宋体" w:hAnsi="宋体" w:eastAsia="宋体" w:cs="宋体"/>
          <w:sz w:val="24"/>
          <w:szCs w:val="24"/>
          <w:highlight w:val="none"/>
          <w:lang w:val="en-US" w:eastAsia="zh-CN"/>
        </w:rPr>
        <w:t>政策宣传：开展内容丰富、形式多样的社会救助政策的宣传活动，提高群众对社会救助政策的知晓</w:t>
      </w:r>
      <w:bookmarkStart w:id="52" w:name="_GoBack"/>
      <w:bookmarkEnd w:id="52"/>
      <w:r>
        <w:rPr>
          <w:rFonts w:hint="eastAsia" w:ascii="宋体" w:hAnsi="宋体" w:eastAsia="宋体" w:cs="宋体"/>
          <w:sz w:val="24"/>
          <w:szCs w:val="24"/>
          <w:highlight w:val="none"/>
          <w:lang w:val="en-US" w:eastAsia="zh-CN"/>
        </w:rPr>
        <w:t>率。</w:t>
      </w:r>
    </w:p>
    <w:p w14:paraId="63FA7ACB">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1.7</w:t>
      </w:r>
      <w:r>
        <w:rPr>
          <w:rFonts w:hint="eastAsia" w:ascii="宋体" w:hAnsi="宋体" w:eastAsia="宋体" w:cs="宋体"/>
          <w:sz w:val="24"/>
          <w:szCs w:val="24"/>
          <w:highlight w:val="none"/>
          <w:lang w:val="en-US" w:eastAsia="zh-CN"/>
        </w:rPr>
        <w:t>按时足额发放员工工资、缴纳社保（不受采购人付款时间影响）确保各项工作正常开展。</w:t>
      </w:r>
    </w:p>
    <w:p w14:paraId="703E3CE0">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1.8</w:t>
      </w:r>
      <w:r>
        <w:rPr>
          <w:rFonts w:hint="eastAsia" w:ascii="宋体" w:hAnsi="宋体" w:eastAsia="宋体" w:cs="宋体"/>
          <w:sz w:val="24"/>
          <w:szCs w:val="24"/>
          <w:highlight w:val="none"/>
          <w:lang w:val="en-US" w:eastAsia="zh-CN"/>
        </w:rPr>
        <w:t>管理服务费：收费合理。</w:t>
      </w:r>
    </w:p>
    <w:p w14:paraId="3F7C0984">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1.9</w:t>
      </w:r>
      <w:r>
        <w:rPr>
          <w:rFonts w:hint="eastAsia" w:ascii="宋体" w:hAnsi="宋体" w:eastAsia="宋体" w:cs="宋体"/>
          <w:sz w:val="24"/>
          <w:szCs w:val="24"/>
          <w:highlight w:val="none"/>
          <w:lang w:val="en-US" w:eastAsia="zh-CN"/>
        </w:rPr>
        <w:t>无条件接受采购人的监督和指导。</w:t>
      </w:r>
    </w:p>
    <w:p w14:paraId="4C798170">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color w:val="000000"/>
          <w:sz w:val="24"/>
          <w:szCs w:val="24"/>
          <w:highlight w:val="none"/>
          <w:lang w:val="en-US" w:eastAsia="zh-CN"/>
        </w:rPr>
        <w:t>服务质量：符合国家相关（行业）规定规范标准</w:t>
      </w:r>
      <w:r>
        <w:rPr>
          <w:rFonts w:hint="eastAsia" w:ascii="宋体" w:hAnsi="宋体" w:eastAsia="宋体" w:cs="宋体"/>
          <w:color w:val="000000"/>
          <w:sz w:val="24"/>
          <w:szCs w:val="24"/>
          <w:highlight w:val="none"/>
        </w:rPr>
        <w:t>；</w:t>
      </w:r>
    </w:p>
    <w:p w14:paraId="779FE8CD">
      <w:pPr>
        <w:pageBreakBefore w:val="0"/>
        <w:numPr>
          <w:ilvl w:val="0"/>
          <w:numId w:val="1"/>
        </w:numPr>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服务费用</w:t>
      </w:r>
    </w:p>
    <w:p w14:paraId="49F8B9BC">
      <w:pPr>
        <w:pStyle w:val="4"/>
        <w:pageBreakBefore w:val="0"/>
        <w:kinsoku/>
        <w:wordWrap/>
        <w:overflowPunct/>
        <w:topLinePunct w:val="0"/>
        <w:autoSpaceDE/>
        <w:autoSpaceDN/>
        <w:bidi w:val="0"/>
        <w:snapToGrid/>
        <w:spacing w:before="0" w:after="0" w:line="360" w:lineRule="auto"/>
        <w:ind w:left="0" w:firstLine="480" w:firstLineChars="200"/>
        <w:rPr>
          <w:rFonts w:hint="eastAsia" w:ascii="宋体" w:hAnsi="宋体" w:eastAsia="宋体" w:cs="宋体"/>
          <w:b w:val="0"/>
          <w:sz w:val="24"/>
          <w:szCs w:val="24"/>
        </w:rPr>
      </w:pPr>
      <w:r>
        <w:rPr>
          <w:rFonts w:hint="eastAsia" w:ascii="宋体" w:hAnsi="宋体" w:eastAsia="宋体" w:cs="宋体"/>
          <w:b w:val="0"/>
          <w:sz w:val="24"/>
          <w:szCs w:val="24"/>
        </w:rPr>
        <w:t xml:space="preserve">  1.服务总费用为人民币（大写）：</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元，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w:t>
      </w:r>
    </w:p>
    <w:p w14:paraId="06105A8B">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 xml:space="preserve">  2.本项目服务费用由以下组成：</w:t>
      </w:r>
    </w:p>
    <w:p w14:paraId="5C38565E">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 xml:space="preserve">  （1）</w:t>
      </w:r>
      <w:r>
        <w:rPr>
          <w:rFonts w:hint="eastAsia" w:ascii="宋体" w:hAnsi="宋体" w:eastAsia="宋体" w:cs="宋体"/>
          <w:color w:val="000000"/>
          <w:sz w:val="24"/>
          <w:szCs w:val="24"/>
        </w:rPr>
        <w:t>XX</w:t>
      </w:r>
      <w:r>
        <w:rPr>
          <w:rFonts w:hint="eastAsia" w:ascii="宋体" w:hAnsi="宋体" w:eastAsia="宋体" w:cs="宋体"/>
          <w:sz w:val="24"/>
          <w:szCs w:val="24"/>
        </w:rPr>
        <w:t>万元；</w:t>
      </w:r>
    </w:p>
    <w:p w14:paraId="05F54DBE">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 xml:space="preserve">  （2）</w:t>
      </w:r>
      <w:r>
        <w:rPr>
          <w:rFonts w:hint="eastAsia" w:ascii="宋体" w:hAnsi="宋体" w:eastAsia="宋体" w:cs="宋体"/>
          <w:color w:val="000000"/>
          <w:sz w:val="24"/>
          <w:szCs w:val="24"/>
        </w:rPr>
        <w:t>XX</w:t>
      </w:r>
      <w:r>
        <w:rPr>
          <w:rFonts w:hint="eastAsia" w:ascii="宋体" w:hAnsi="宋体" w:eastAsia="宋体" w:cs="宋体"/>
          <w:sz w:val="24"/>
          <w:szCs w:val="24"/>
        </w:rPr>
        <w:t>万元；</w:t>
      </w:r>
    </w:p>
    <w:p w14:paraId="48B1737A">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 xml:space="preserve">  （3）</w:t>
      </w:r>
      <w:r>
        <w:rPr>
          <w:rFonts w:hint="eastAsia" w:ascii="宋体" w:hAnsi="宋体" w:eastAsia="宋体" w:cs="宋体"/>
          <w:color w:val="000000"/>
          <w:sz w:val="24"/>
          <w:szCs w:val="24"/>
        </w:rPr>
        <w:t>XX</w:t>
      </w:r>
      <w:r>
        <w:rPr>
          <w:rFonts w:hint="eastAsia" w:ascii="宋体" w:hAnsi="宋体" w:eastAsia="宋体" w:cs="宋体"/>
          <w:sz w:val="24"/>
          <w:szCs w:val="24"/>
        </w:rPr>
        <w:t>万元。</w:t>
      </w:r>
    </w:p>
    <w:p w14:paraId="7D0EE7D3">
      <w:pPr>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4.本合同执行期间服务总费用不变，甲方无须另向乙方支付本合同规定之外的其他任何费用。</w:t>
      </w:r>
    </w:p>
    <w:p w14:paraId="0C82B348">
      <w:pPr>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第五条  服务费支付方式</w:t>
      </w:r>
    </w:p>
    <w:p w14:paraId="5ED8F809">
      <w:pPr>
        <w:pStyle w:val="5"/>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sz w:val="24"/>
          <w:szCs w:val="24"/>
          <w:lang w:val="en-US" w:eastAsia="zh-CN"/>
        </w:rPr>
      </w:pPr>
      <w:r>
        <w:rPr>
          <w:rFonts w:hint="eastAsia" w:ascii="宋体" w:hAnsi="宋体" w:eastAsia="宋体" w:cs="宋体"/>
          <w:b/>
          <w:sz w:val="24"/>
          <w:szCs w:val="24"/>
        </w:rPr>
        <w:t xml:space="preserve"> </w:t>
      </w:r>
      <w:r>
        <w:rPr>
          <w:rFonts w:hint="eastAsia" w:ascii="宋体" w:hAnsi="宋体" w:eastAsia="宋体" w:cs="宋体"/>
          <w:sz w:val="24"/>
          <w:szCs w:val="24"/>
        </w:rPr>
        <w:t>1、付款比例：</w:t>
      </w:r>
      <w:r>
        <w:rPr>
          <w:rFonts w:hint="eastAsia" w:ascii="宋体" w:hAnsi="宋体" w:cs="宋体"/>
          <w:sz w:val="24"/>
          <w:szCs w:val="24"/>
          <w:lang w:val="en-US" w:eastAsia="zh-CN"/>
        </w:rPr>
        <w:t>（1）</w:t>
      </w:r>
      <w:r>
        <w:rPr>
          <w:rFonts w:hint="eastAsia" w:ascii="宋体" w:hAnsi="宋体" w:eastAsia="宋体" w:cs="宋体"/>
          <w:sz w:val="24"/>
          <w:szCs w:val="24"/>
          <w:lang w:val="en-US" w:eastAsia="zh-CN"/>
        </w:rPr>
        <w:t>预付款：</w:t>
      </w:r>
      <w:r>
        <w:rPr>
          <w:rFonts w:hint="eastAsia" w:ascii="宋体" w:hAnsi="宋体" w:cs="宋体"/>
          <w:sz w:val="24"/>
          <w:szCs w:val="24"/>
          <w:lang w:val="en-US" w:eastAsia="zh-CN"/>
        </w:rPr>
        <w:t>甲、乙</w:t>
      </w:r>
      <w:r>
        <w:rPr>
          <w:rFonts w:hint="eastAsia" w:ascii="宋体" w:hAnsi="宋体" w:eastAsia="宋体" w:cs="宋体"/>
          <w:sz w:val="24"/>
          <w:szCs w:val="24"/>
          <w:lang w:val="en-US" w:eastAsia="zh-CN"/>
        </w:rPr>
        <w:t>双方合同签订后一个月内，</w:t>
      </w:r>
      <w:r>
        <w:rPr>
          <w:rFonts w:hint="eastAsia" w:ascii="宋体" w:hAnsi="宋体" w:cs="宋体"/>
          <w:sz w:val="24"/>
          <w:szCs w:val="24"/>
          <w:lang w:val="en-US" w:eastAsia="zh-CN"/>
        </w:rPr>
        <w:t>乙方</w:t>
      </w:r>
      <w:r>
        <w:rPr>
          <w:rFonts w:hint="eastAsia" w:ascii="宋体" w:hAnsi="宋体" w:eastAsia="宋体" w:cs="宋体"/>
          <w:sz w:val="24"/>
          <w:szCs w:val="24"/>
          <w:lang w:val="en-US" w:eastAsia="zh-CN"/>
        </w:rPr>
        <w:t>向</w:t>
      </w:r>
      <w:r>
        <w:rPr>
          <w:rFonts w:hint="eastAsia" w:ascii="宋体" w:hAnsi="宋体" w:cs="宋体"/>
          <w:sz w:val="24"/>
          <w:szCs w:val="24"/>
          <w:lang w:val="en-US" w:eastAsia="zh-CN"/>
        </w:rPr>
        <w:t>甲方</w:t>
      </w:r>
      <w:r>
        <w:rPr>
          <w:rFonts w:hint="eastAsia" w:ascii="宋体" w:hAnsi="宋体" w:eastAsia="宋体" w:cs="宋体"/>
          <w:sz w:val="24"/>
          <w:szCs w:val="24"/>
          <w:lang w:val="en-US" w:eastAsia="zh-CN"/>
        </w:rPr>
        <w:t>提供对应金额发票，</w:t>
      </w:r>
      <w:r>
        <w:rPr>
          <w:rFonts w:hint="eastAsia" w:ascii="宋体" w:hAnsi="宋体" w:cs="宋体"/>
          <w:sz w:val="24"/>
          <w:szCs w:val="24"/>
          <w:lang w:val="en-US" w:eastAsia="zh-CN"/>
        </w:rPr>
        <w:t>甲方</w:t>
      </w:r>
      <w:r>
        <w:rPr>
          <w:rFonts w:hint="eastAsia" w:ascii="宋体" w:hAnsi="宋体" w:eastAsia="宋体" w:cs="宋体"/>
          <w:sz w:val="24"/>
          <w:szCs w:val="24"/>
          <w:lang w:val="en-US" w:eastAsia="zh-CN"/>
        </w:rPr>
        <w:t>向</w:t>
      </w:r>
      <w:r>
        <w:rPr>
          <w:rFonts w:hint="eastAsia" w:ascii="宋体" w:hAnsi="宋体" w:cs="宋体"/>
          <w:sz w:val="24"/>
          <w:szCs w:val="24"/>
          <w:lang w:val="en-US" w:eastAsia="zh-CN"/>
        </w:rPr>
        <w:t>乙方</w:t>
      </w:r>
      <w:r>
        <w:rPr>
          <w:rFonts w:hint="eastAsia" w:ascii="宋体" w:hAnsi="宋体" w:eastAsia="宋体" w:cs="宋体"/>
          <w:sz w:val="24"/>
          <w:szCs w:val="24"/>
          <w:lang w:val="en-US" w:eastAsia="zh-CN"/>
        </w:rPr>
        <w:t>支付合同金额的70%作为预付款。</w:t>
      </w:r>
    </w:p>
    <w:p w14:paraId="74AAC658">
      <w:pPr>
        <w:pStyle w:val="5"/>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合同履行结束前，</w:t>
      </w:r>
      <w:r>
        <w:rPr>
          <w:rFonts w:hint="eastAsia" w:ascii="宋体" w:hAnsi="宋体" w:cs="宋体"/>
          <w:sz w:val="24"/>
          <w:szCs w:val="24"/>
          <w:lang w:val="en-US" w:eastAsia="zh-CN"/>
        </w:rPr>
        <w:t>甲方</w:t>
      </w:r>
      <w:r>
        <w:rPr>
          <w:rFonts w:hint="eastAsia" w:ascii="宋体" w:hAnsi="宋体" w:eastAsia="宋体" w:cs="宋体"/>
          <w:sz w:val="24"/>
          <w:szCs w:val="24"/>
          <w:lang w:val="en-US" w:eastAsia="zh-CN"/>
        </w:rPr>
        <w:t>考核成交供应商工作合格后，</w:t>
      </w:r>
      <w:r>
        <w:rPr>
          <w:rFonts w:hint="eastAsia" w:ascii="宋体" w:hAnsi="宋体" w:cs="宋体"/>
          <w:sz w:val="24"/>
          <w:szCs w:val="24"/>
          <w:lang w:val="en-US" w:eastAsia="zh-CN"/>
        </w:rPr>
        <w:t>甲方</w:t>
      </w:r>
      <w:r>
        <w:rPr>
          <w:rFonts w:hint="eastAsia" w:ascii="宋体" w:hAnsi="宋体" w:eastAsia="宋体" w:cs="宋体"/>
          <w:sz w:val="24"/>
          <w:szCs w:val="24"/>
          <w:lang w:val="en-US" w:eastAsia="zh-CN"/>
        </w:rPr>
        <w:t>向</w:t>
      </w:r>
      <w:r>
        <w:rPr>
          <w:rFonts w:hint="eastAsia" w:ascii="宋体" w:hAnsi="宋体" w:cs="宋体"/>
          <w:sz w:val="24"/>
          <w:szCs w:val="24"/>
          <w:lang w:val="en-US" w:eastAsia="zh-CN"/>
        </w:rPr>
        <w:t>乙方</w:t>
      </w:r>
      <w:r>
        <w:rPr>
          <w:rFonts w:hint="eastAsia" w:ascii="宋体" w:hAnsi="宋体" w:eastAsia="宋体" w:cs="宋体"/>
          <w:sz w:val="24"/>
          <w:szCs w:val="24"/>
          <w:lang w:val="en-US" w:eastAsia="zh-CN"/>
        </w:rPr>
        <w:t>支付30%尾款。</w:t>
      </w:r>
    </w:p>
    <w:p w14:paraId="1963F579">
      <w:pPr>
        <w:pStyle w:val="5"/>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2、结算方式：银行转账。</w:t>
      </w:r>
    </w:p>
    <w:p w14:paraId="79BC8442">
      <w:pPr>
        <w:pStyle w:val="5"/>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b/>
          <w:sz w:val="24"/>
          <w:szCs w:val="24"/>
        </w:rPr>
      </w:pPr>
      <w:r>
        <w:rPr>
          <w:rFonts w:hint="eastAsia" w:ascii="宋体" w:hAnsi="宋体" w:eastAsia="宋体" w:cs="宋体"/>
          <w:sz w:val="24"/>
          <w:szCs w:val="24"/>
        </w:rPr>
        <w:t>3、结算单位：由采购人负责结算，乙方开具合同总价数的全额发票交采购人。</w:t>
      </w:r>
    </w:p>
    <w:p w14:paraId="666E71D9">
      <w:pPr>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第六条   知识产权</w:t>
      </w:r>
    </w:p>
    <w:p w14:paraId="7E588B4A">
      <w:pPr>
        <w:pageBreakBefore w:val="0"/>
        <w:tabs>
          <w:tab w:val="left" w:pos="144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21629AB6">
      <w:pPr>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第七条  无产权瑕疵条款</w:t>
      </w:r>
    </w:p>
    <w:p w14:paraId="643DC0B0">
      <w:pPr>
        <w:pageBreakBefore w:val="0"/>
        <w:tabs>
          <w:tab w:val="left" w:pos="144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7913A92F">
      <w:pPr>
        <w:pageBreakBefore w:val="0"/>
        <w:widowControl/>
        <w:kinsoku/>
        <w:wordWrap/>
        <w:overflowPunct/>
        <w:topLinePunct w:val="0"/>
        <w:autoSpaceDE/>
        <w:autoSpaceDN/>
        <w:bidi w:val="0"/>
        <w:snapToGrid/>
        <w:spacing w:line="360" w:lineRule="auto"/>
        <w:ind w:left="0" w:firstLine="482" w:firstLineChars="200"/>
        <w:jc w:val="left"/>
        <w:rPr>
          <w:rFonts w:hint="eastAsia" w:ascii="宋体" w:hAnsi="宋体" w:eastAsia="宋体" w:cs="宋体"/>
          <w:b/>
          <w:sz w:val="24"/>
          <w:szCs w:val="24"/>
        </w:rPr>
      </w:pPr>
      <w:r>
        <w:rPr>
          <w:rFonts w:hint="eastAsia" w:ascii="宋体" w:hAnsi="宋体" w:eastAsia="宋体" w:cs="宋体"/>
          <w:b/>
          <w:sz w:val="24"/>
          <w:szCs w:val="24"/>
        </w:rPr>
        <w:t xml:space="preserve">   第八条   履约保证金</w:t>
      </w:r>
    </w:p>
    <w:p w14:paraId="71E36859">
      <w:pPr>
        <w:pageBreakBefore w:val="0"/>
        <w:widowControl/>
        <w:kinsoku/>
        <w:wordWrap/>
        <w:overflowPunct/>
        <w:topLinePunct w:val="0"/>
        <w:autoSpaceDE/>
        <w:autoSpaceDN/>
        <w:bidi w:val="0"/>
        <w:snapToGrid/>
        <w:spacing w:line="360" w:lineRule="auto"/>
        <w:ind w:left="0" w:firstLine="480" w:firstLineChars="200"/>
        <w:jc w:val="left"/>
        <w:rPr>
          <w:rFonts w:hint="eastAsia" w:ascii="宋体" w:hAnsi="宋体" w:eastAsia="宋体" w:cs="宋体"/>
          <w:b/>
          <w:sz w:val="24"/>
          <w:szCs w:val="24"/>
        </w:rPr>
      </w:pPr>
      <w:r>
        <w:rPr>
          <w:rFonts w:hint="eastAsia" w:ascii="宋体" w:hAnsi="宋体" w:eastAsia="宋体" w:cs="宋体"/>
          <w:color w:val="000000"/>
          <w:kern w:val="0"/>
          <w:sz w:val="24"/>
          <w:szCs w:val="24"/>
        </w:rPr>
        <w:t>1.乙方在签订本合同之前，向甲方构提交履约保证金人民币（大写）</w:t>
      </w:r>
      <w:r>
        <w:rPr>
          <w:rFonts w:hint="eastAsia" w:ascii="宋体" w:hAnsi="宋体" w:eastAsia="宋体" w:cs="宋体"/>
          <w:color w:val="000000"/>
          <w:kern w:val="0"/>
          <w:sz w:val="24"/>
          <w:szCs w:val="24"/>
          <w:u w:val="single"/>
        </w:rPr>
        <w:t>/</w:t>
      </w:r>
      <w:r>
        <w:rPr>
          <w:rFonts w:hint="eastAsia" w:ascii="宋体" w:hAnsi="宋体" w:eastAsia="宋体" w:cs="宋体"/>
          <w:color w:val="000000"/>
          <w:kern w:val="0"/>
          <w:sz w:val="24"/>
          <w:szCs w:val="24"/>
        </w:rPr>
        <w:t>元，￥</w:t>
      </w:r>
      <w:r>
        <w:rPr>
          <w:rFonts w:hint="eastAsia" w:ascii="宋体" w:hAnsi="宋体" w:eastAsia="宋体" w:cs="宋体"/>
          <w:color w:val="000000"/>
          <w:kern w:val="0"/>
          <w:sz w:val="24"/>
          <w:szCs w:val="24"/>
          <w:u w:val="single"/>
        </w:rPr>
        <w:t>/</w:t>
      </w:r>
      <w:r>
        <w:rPr>
          <w:rFonts w:hint="eastAsia" w:ascii="宋体" w:hAnsi="宋体" w:eastAsia="宋体" w:cs="宋体"/>
          <w:color w:val="000000"/>
          <w:kern w:val="0"/>
          <w:sz w:val="24"/>
          <w:szCs w:val="24"/>
        </w:rPr>
        <w:t xml:space="preserve"> 。</w:t>
      </w:r>
    </w:p>
    <w:p w14:paraId="55E7F826">
      <w:pPr>
        <w:pageBreakBefore w:val="0"/>
        <w:widowControl/>
        <w:kinsoku/>
        <w:wordWrap/>
        <w:overflowPunct/>
        <w:topLinePunct w:val="0"/>
        <w:autoSpaceDE/>
        <w:autoSpaceDN/>
        <w:bidi w:val="0"/>
        <w:snapToGrid/>
        <w:spacing w:line="360" w:lineRule="auto"/>
        <w:ind w:left="0" w:firstLine="480" w:firstLineChars="200"/>
        <w:jc w:val="left"/>
        <w:rPr>
          <w:rFonts w:hint="eastAsia" w:ascii="宋体" w:hAnsi="宋体" w:eastAsia="宋体" w:cs="宋体"/>
          <w:color w:val="000000"/>
          <w:kern w:val="0"/>
          <w:sz w:val="24"/>
          <w:szCs w:val="24"/>
        </w:rPr>
      </w:pPr>
      <w:r>
        <w:rPr>
          <w:rFonts w:hint="eastAsia" w:ascii="宋体" w:hAnsi="宋体" w:eastAsia="宋体" w:cs="宋体"/>
          <w:bCs/>
          <w:sz w:val="24"/>
          <w:szCs w:val="24"/>
        </w:rPr>
        <w:t>2.</w:t>
      </w:r>
      <w:r>
        <w:rPr>
          <w:rFonts w:hint="eastAsia" w:ascii="宋体" w:hAnsi="宋体" w:eastAsia="宋体" w:cs="宋体"/>
          <w:color w:val="000000"/>
          <w:kern w:val="0"/>
          <w:sz w:val="24"/>
          <w:szCs w:val="24"/>
        </w:rPr>
        <w:t>履约保证金的有效期为乙方承诺的服务期限。</w:t>
      </w:r>
    </w:p>
    <w:p w14:paraId="68F7AFD8">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3.履约保证金作为违约金的一部分及用于补偿甲方因乙方不能履行合同义务而蒙受的损失。</w:t>
      </w:r>
    </w:p>
    <w:p w14:paraId="20FD5CE9">
      <w:pPr>
        <w:pageBreakBefore w:val="0"/>
        <w:widowControl/>
        <w:kinsoku/>
        <w:wordWrap/>
        <w:overflowPunct/>
        <w:topLinePunct w:val="0"/>
        <w:autoSpaceDE/>
        <w:autoSpaceDN/>
        <w:bidi w:val="0"/>
        <w:snapToGrid/>
        <w:spacing w:line="360" w:lineRule="auto"/>
        <w:ind w:left="0"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rPr>
        <w:t>4.</w:t>
      </w:r>
      <w:r>
        <w:rPr>
          <w:rFonts w:hint="eastAsia" w:ascii="宋体" w:hAnsi="宋体" w:eastAsia="宋体" w:cs="宋体"/>
          <w:sz w:val="24"/>
          <w:szCs w:val="24"/>
        </w:rPr>
        <w:t>服务期限结束后，甲方财务部门接到甲方确认本合同服务等约定事项已经履行完毕的正式书面文件后的</w:t>
      </w:r>
      <w:r>
        <w:rPr>
          <w:rFonts w:hint="eastAsia" w:ascii="宋体" w:hAnsi="宋体" w:eastAsia="宋体" w:cs="宋体"/>
          <w:sz w:val="24"/>
          <w:szCs w:val="24"/>
          <w:u w:val="single"/>
        </w:rPr>
        <w:t>/</w:t>
      </w:r>
      <w:r>
        <w:rPr>
          <w:rFonts w:hint="eastAsia" w:ascii="宋体" w:hAnsi="宋体" w:eastAsia="宋体" w:cs="宋体"/>
          <w:sz w:val="24"/>
          <w:szCs w:val="24"/>
        </w:rPr>
        <w:t>日内，向乙方退还履约保证金。</w:t>
      </w:r>
    </w:p>
    <w:p w14:paraId="45AA1047">
      <w:pPr>
        <w:pageBreakBefore w:val="0"/>
        <w:widowControl/>
        <w:kinsoku/>
        <w:wordWrap/>
        <w:overflowPunct/>
        <w:topLinePunct w:val="0"/>
        <w:autoSpaceDE/>
        <w:autoSpaceDN/>
        <w:bidi w:val="0"/>
        <w:snapToGrid/>
        <w:spacing w:line="360" w:lineRule="auto"/>
        <w:ind w:left="0" w:firstLine="480" w:firstLineChars="200"/>
        <w:jc w:val="left"/>
        <w:rPr>
          <w:rFonts w:hint="eastAsia" w:ascii="宋体" w:hAnsi="宋体" w:eastAsia="宋体" w:cs="宋体"/>
          <w:bCs/>
          <w:sz w:val="24"/>
          <w:szCs w:val="24"/>
        </w:rPr>
      </w:pPr>
      <w:r>
        <w:rPr>
          <w:rFonts w:hint="eastAsia" w:ascii="宋体" w:hAnsi="宋体" w:eastAsia="宋体" w:cs="宋体"/>
          <w:sz w:val="24"/>
          <w:szCs w:val="24"/>
        </w:rPr>
        <w:t>5.乙方可以履约担保函的形式交纳履约保证金（格式见附件1）。</w:t>
      </w:r>
    </w:p>
    <w:p w14:paraId="2949D0A3">
      <w:pPr>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第九条  甲方的权利和义务</w:t>
      </w:r>
    </w:p>
    <w:p w14:paraId="7315C8DC">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175FB836">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2.甲方有权依据双方签订的考评办法对乙方提供的服务进行定期考评。当考评结果未达到标准时，有权依据考评办法约定的数额扣除履约保证金。</w:t>
      </w:r>
    </w:p>
    <w:p w14:paraId="1BB16D53">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3.负责检查监督乙方管理工作的实施及制度的执行情况。</w:t>
      </w:r>
    </w:p>
    <w:p w14:paraId="536A73DC">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4.根据本合同规定，按时向乙方支付应付服务费用。</w:t>
      </w:r>
    </w:p>
    <w:p w14:paraId="6E72E495">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5.国家法律、法规所规定由甲方承担的其它责任。</w:t>
      </w:r>
    </w:p>
    <w:p w14:paraId="38FED4A2">
      <w:pPr>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第十条  乙方的权利和义务</w:t>
      </w:r>
    </w:p>
    <w:p w14:paraId="4B2FE395">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1.对本合同规定的委托服务范围内的项目享有管理权及服务义务。</w:t>
      </w:r>
    </w:p>
    <w:p w14:paraId="26BAA8E0">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2.根据本合同的规定向甲方收取相关服务费用，并有权在本项目管理范围内管理及合理使用。</w:t>
      </w:r>
    </w:p>
    <w:p w14:paraId="6348F57B">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2464E8EE">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sz w:val="24"/>
          <w:szCs w:val="24"/>
        </w:rPr>
        <w:t>4.</w:t>
      </w:r>
      <w:r>
        <w:rPr>
          <w:rFonts w:hint="eastAsia" w:ascii="宋体" w:hAnsi="宋体" w:eastAsia="宋体" w:cs="宋体"/>
          <w:bCs/>
          <w:sz w:val="24"/>
          <w:szCs w:val="24"/>
        </w:rPr>
        <w:t>接受项目行业管理部门及政府有关部门的指导，接受甲方的监督。</w:t>
      </w:r>
    </w:p>
    <w:p w14:paraId="16CAC513">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5.国家法律、法规所规定由乙方承担的其它责任。</w:t>
      </w:r>
    </w:p>
    <w:p w14:paraId="70739C4C">
      <w:pPr>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第十一条  违约责任</w:t>
      </w:r>
    </w:p>
    <w:p w14:paraId="169B63C8">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1.甲乙双方必须遵守本合同并执行合同中的各项规定，保证本合同的正常履行。</w:t>
      </w:r>
    </w:p>
    <w:p w14:paraId="55F27A38">
      <w:pPr>
        <w:pageBreakBefore w:val="0"/>
        <w:kinsoku/>
        <w:wordWrap/>
        <w:overflowPunct/>
        <w:topLinePunct w:val="0"/>
        <w:autoSpaceDE/>
        <w:autoSpaceDN/>
        <w:bidi w:val="0"/>
        <w:adjustRightInd w:val="0"/>
        <w:snapToGrid/>
        <w:spacing w:line="360" w:lineRule="auto"/>
        <w:ind w:left="0" w:firstLine="480" w:firstLineChars="200"/>
        <w:jc w:val="left"/>
        <w:textAlignment w:val="baseline"/>
        <w:rPr>
          <w:rFonts w:hint="eastAsia" w:ascii="宋体" w:hAnsi="宋体" w:eastAsia="宋体" w:cs="宋体"/>
          <w:bCs/>
          <w:sz w:val="24"/>
          <w:szCs w:val="24"/>
        </w:rPr>
      </w:pPr>
      <w:r>
        <w:rPr>
          <w:rFonts w:hint="eastAsia" w:ascii="宋体" w:hAnsi="宋体" w:eastAsia="宋体" w:cs="宋体"/>
          <w:bCs/>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EB0ACEB">
      <w:pPr>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第十二条  不可抗力事件处理</w:t>
      </w:r>
    </w:p>
    <w:p w14:paraId="1A8D1C00">
      <w:pPr>
        <w:pageBreakBefore w:val="0"/>
        <w:tabs>
          <w:tab w:val="left" w:pos="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52AA34D5">
      <w:pPr>
        <w:pageBreakBefore w:val="0"/>
        <w:tabs>
          <w:tab w:val="left" w:pos="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34F80F97">
      <w:pPr>
        <w:pageBreakBefore w:val="0"/>
        <w:tabs>
          <w:tab w:val="left" w:pos="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w:t>
      </w:r>
      <w:r>
        <w:rPr>
          <w:rFonts w:hint="eastAsia" w:ascii="宋体" w:hAnsi="宋体" w:eastAsia="宋体" w:cs="宋体"/>
          <w:color w:val="000000"/>
          <w:sz w:val="24"/>
          <w:szCs w:val="24"/>
        </w:rPr>
        <w:t>60</w:t>
      </w:r>
      <w:r>
        <w:rPr>
          <w:rFonts w:hint="eastAsia" w:ascii="宋体" w:hAnsi="宋体" w:eastAsia="宋体" w:cs="宋体"/>
          <w:sz w:val="24"/>
          <w:szCs w:val="24"/>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644D54E">
      <w:pPr>
        <w:pageBreakBefore w:val="0"/>
        <w:widowControl/>
        <w:kinsoku/>
        <w:wordWrap/>
        <w:overflowPunct/>
        <w:topLinePunct w:val="0"/>
        <w:autoSpaceDE/>
        <w:autoSpaceDN/>
        <w:bidi w:val="0"/>
        <w:snapToGrid/>
        <w:spacing w:line="360" w:lineRule="auto"/>
        <w:ind w:left="0" w:firstLine="482" w:firstLineChars="200"/>
        <w:jc w:val="left"/>
        <w:rPr>
          <w:rFonts w:hint="eastAsia" w:ascii="宋体" w:hAnsi="宋体" w:eastAsia="宋体" w:cs="宋体"/>
          <w:color w:val="000000"/>
          <w:kern w:val="0"/>
          <w:sz w:val="24"/>
          <w:szCs w:val="24"/>
        </w:rPr>
      </w:pPr>
      <w:bookmarkStart w:id="18" w:name="_Toc239233919"/>
      <w:bookmarkStart w:id="19" w:name="_Toc238984980"/>
      <w:bookmarkStart w:id="20" w:name="_Toc211854454"/>
      <w:bookmarkStart w:id="21" w:name="_Toc239568423"/>
      <w:bookmarkStart w:id="22" w:name="_Toc232492933"/>
      <w:bookmarkStart w:id="23" w:name="_Toc241833908"/>
      <w:bookmarkStart w:id="24" w:name="_Toc225670756"/>
      <w:bookmarkStart w:id="25" w:name="_Toc211911353"/>
      <w:bookmarkStart w:id="26" w:name="_Toc247334846"/>
      <w:bookmarkStart w:id="27" w:name="_Toc251768867"/>
      <w:bookmarkStart w:id="28" w:name="_Toc225244857"/>
      <w:bookmarkStart w:id="29" w:name="_Toc286993792"/>
      <w:bookmarkStart w:id="30" w:name="_Toc185395254"/>
      <w:bookmarkStart w:id="31" w:name="_Toc237145411"/>
      <w:bookmarkStart w:id="32" w:name="_Toc212019599"/>
      <w:bookmarkStart w:id="33" w:name="_Toc225654649"/>
      <w:r>
        <w:rPr>
          <w:rFonts w:hint="eastAsia" w:ascii="宋体" w:hAnsi="宋体" w:eastAsia="宋体" w:cs="宋体"/>
          <w:b/>
          <w:sz w:val="24"/>
          <w:szCs w:val="24"/>
        </w:rPr>
        <w:t xml:space="preserve">   第十三条  </w:t>
      </w:r>
      <w:r>
        <w:rPr>
          <w:rFonts w:hint="eastAsia" w:ascii="宋体" w:hAnsi="宋体" w:eastAsia="宋体" w:cs="宋体"/>
          <w:b/>
          <w:color w:val="000000"/>
          <w:kern w:val="0"/>
          <w:sz w:val="24"/>
          <w:szCs w:val="24"/>
        </w:rPr>
        <w:t>合同的变更和终止</w:t>
      </w:r>
    </w:p>
    <w:p w14:paraId="675B4C09">
      <w:pPr>
        <w:pageBreakBefore w:val="0"/>
        <w:widowControl/>
        <w:kinsoku/>
        <w:wordWrap/>
        <w:overflowPunct/>
        <w:topLinePunct w:val="0"/>
        <w:autoSpaceDE/>
        <w:autoSpaceDN/>
        <w:bidi w:val="0"/>
        <w:snapToGrid/>
        <w:spacing w:line="360" w:lineRule="auto"/>
        <w:ind w:left="0"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除《中华人民共和国政府采购法》第49条、第50条第二款规定的情形外，本合同一经签订，甲乙双方不得擅自变更、中止或终止合同。</w:t>
      </w:r>
    </w:p>
    <w:p w14:paraId="537C9B61">
      <w:pPr>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第十四条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7EE7C7">
      <w:pPr>
        <w:pStyle w:val="1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kern w:val="0"/>
          <w:sz w:val="24"/>
          <w:szCs w:val="24"/>
        </w:rPr>
      </w:pPr>
      <w:r>
        <w:rPr>
          <w:rFonts w:hint="eastAsia" w:ascii="宋体" w:hAnsi="宋体" w:eastAsia="宋体" w:cs="宋体"/>
          <w:sz w:val="24"/>
          <w:szCs w:val="24"/>
        </w:rPr>
        <w:t>1.在执行本合同中发生的或与本合同有关的争端，双方应通过友好协商解决，经协商在</w:t>
      </w:r>
      <w:r>
        <w:rPr>
          <w:rFonts w:hint="eastAsia" w:ascii="宋体" w:hAnsi="宋体" w:eastAsia="宋体" w:cs="宋体"/>
          <w:color w:val="000000"/>
          <w:sz w:val="24"/>
          <w:szCs w:val="24"/>
        </w:rPr>
        <w:t>XX</w:t>
      </w:r>
      <w:r>
        <w:rPr>
          <w:rFonts w:hint="eastAsia" w:ascii="宋体" w:hAnsi="宋体" w:eastAsia="宋体" w:cs="宋体"/>
          <w:sz w:val="24"/>
          <w:szCs w:val="24"/>
        </w:rPr>
        <w:t>天内不能达成协议时，</w:t>
      </w:r>
      <w:r>
        <w:rPr>
          <w:rFonts w:hint="eastAsia" w:ascii="宋体" w:hAnsi="宋体" w:eastAsia="宋体" w:cs="宋体"/>
          <w:kern w:val="0"/>
          <w:sz w:val="24"/>
          <w:szCs w:val="24"/>
        </w:rPr>
        <w:t>则采取以下第1种方式解决争议：</w:t>
      </w:r>
    </w:p>
    <w:p w14:paraId="5A9E0F4A">
      <w:pPr>
        <w:pStyle w:val="1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（1）向甲方所在地有管辖权的人民法院提起诉讼；</w:t>
      </w:r>
    </w:p>
    <w:p w14:paraId="46ABD0F6">
      <w:pPr>
        <w:pStyle w:val="10"/>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（2）向/仲裁委员会按其仲裁规则申请仲裁。</w:t>
      </w:r>
    </w:p>
    <w:p w14:paraId="535F6B08">
      <w:pPr>
        <w:pageBreakBefore w:val="0"/>
        <w:tabs>
          <w:tab w:val="left" w:pos="0"/>
        </w:tabs>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kern w:val="0"/>
          <w:sz w:val="24"/>
          <w:szCs w:val="24"/>
        </w:rPr>
        <w:t>2.在仲裁期间，本合同应继续履行。</w:t>
      </w:r>
    </w:p>
    <w:p w14:paraId="2EF5A3AA">
      <w:pPr>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bookmarkStart w:id="34" w:name="_Toc212019600"/>
      <w:bookmarkStart w:id="35" w:name="_Toc239233920"/>
      <w:bookmarkStart w:id="36" w:name="_Toc282696231"/>
      <w:bookmarkStart w:id="37" w:name="_Toc286993793"/>
      <w:bookmarkStart w:id="38" w:name="_Toc185395255"/>
      <w:bookmarkStart w:id="39" w:name="_Toc225670757"/>
      <w:bookmarkStart w:id="40" w:name="_Toc211854455"/>
      <w:bookmarkStart w:id="41" w:name="_Toc225654650"/>
      <w:bookmarkStart w:id="42" w:name="_Toc239568424"/>
      <w:bookmarkStart w:id="43" w:name="_Toc225244858"/>
      <w:bookmarkStart w:id="44" w:name="_Toc247334847"/>
      <w:bookmarkStart w:id="45" w:name="_Toc211911354"/>
      <w:bookmarkStart w:id="46" w:name="_Toc283019219"/>
      <w:bookmarkStart w:id="47" w:name="_Toc232492934"/>
      <w:bookmarkStart w:id="48" w:name="_Toc251768868"/>
      <w:bookmarkStart w:id="49" w:name="_Toc241833909"/>
      <w:bookmarkStart w:id="50" w:name="_Toc238984981"/>
      <w:bookmarkStart w:id="51" w:name="_Toc237145412"/>
      <w:r>
        <w:rPr>
          <w:rFonts w:hint="eastAsia" w:ascii="宋体" w:hAnsi="宋体" w:eastAsia="宋体" w:cs="宋体"/>
          <w:b/>
          <w:sz w:val="24"/>
          <w:szCs w:val="24"/>
        </w:rPr>
        <w:t>第十</w:t>
      </w:r>
      <w:r>
        <w:rPr>
          <w:rFonts w:hint="eastAsia" w:ascii="宋体" w:hAnsi="宋体" w:eastAsia="宋体" w:cs="宋体"/>
          <w:b/>
          <w:sz w:val="24"/>
          <w:szCs w:val="24"/>
          <w:lang w:val="en-US" w:eastAsia="zh-CN"/>
        </w:rPr>
        <w:t>五</w:t>
      </w:r>
      <w:r>
        <w:rPr>
          <w:rFonts w:hint="eastAsia" w:ascii="宋体" w:hAnsi="宋体" w:eastAsia="宋体" w:cs="宋体"/>
          <w:b/>
          <w:sz w:val="24"/>
          <w:szCs w:val="24"/>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24"/>
          <w:szCs w:val="24"/>
        </w:rPr>
        <w:t>生效及其他</w:t>
      </w:r>
    </w:p>
    <w:p w14:paraId="47B80397">
      <w:pPr>
        <w:pStyle w:val="11"/>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1.合同经双方法定代表人或授权委托代理人签字并加盖单位公章后生效。</w:t>
      </w:r>
    </w:p>
    <w:p w14:paraId="1B60B976">
      <w:pPr>
        <w:pStyle w:val="11"/>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2E88B1A5">
      <w:pPr>
        <w:pStyle w:val="11"/>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3.本合同一式</w:t>
      </w:r>
      <w:r>
        <w:rPr>
          <w:rFonts w:hint="eastAsia" w:ascii="宋体" w:hAnsi="宋体" w:eastAsia="宋体" w:cs="宋体"/>
          <w:color w:val="000000"/>
          <w:sz w:val="24"/>
          <w:szCs w:val="24"/>
        </w:rPr>
        <w:t>XX</w:t>
      </w:r>
      <w:r>
        <w:rPr>
          <w:rFonts w:hint="eastAsia" w:ascii="宋体" w:hAnsi="宋体" w:eastAsia="宋体" w:cs="宋体"/>
          <w:sz w:val="24"/>
          <w:szCs w:val="24"/>
        </w:rPr>
        <w:t>份，自双方签章之日起起效。甲方</w:t>
      </w:r>
      <w:r>
        <w:rPr>
          <w:rFonts w:hint="eastAsia" w:ascii="宋体" w:hAnsi="宋体" w:eastAsia="宋体" w:cs="宋体"/>
          <w:color w:val="000000"/>
          <w:sz w:val="24"/>
          <w:szCs w:val="24"/>
        </w:rPr>
        <w:t>XX</w:t>
      </w:r>
      <w:r>
        <w:rPr>
          <w:rFonts w:hint="eastAsia" w:ascii="宋体" w:hAnsi="宋体" w:eastAsia="宋体" w:cs="宋体"/>
          <w:sz w:val="24"/>
          <w:szCs w:val="24"/>
        </w:rPr>
        <w:t>份，乙方</w:t>
      </w:r>
      <w:r>
        <w:rPr>
          <w:rFonts w:hint="eastAsia" w:ascii="宋体" w:hAnsi="宋体" w:eastAsia="宋体" w:cs="宋体"/>
          <w:color w:val="000000"/>
          <w:sz w:val="24"/>
          <w:szCs w:val="24"/>
        </w:rPr>
        <w:t>XX</w:t>
      </w:r>
      <w:r>
        <w:rPr>
          <w:rFonts w:hint="eastAsia" w:ascii="宋体" w:hAnsi="宋体" w:eastAsia="宋体" w:cs="宋体"/>
          <w:sz w:val="24"/>
          <w:szCs w:val="24"/>
        </w:rPr>
        <w:t>份，政府采购代理机构</w:t>
      </w:r>
      <w:r>
        <w:rPr>
          <w:rFonts w:hint="eastAsia" w:ascii="宋体" w:hAnsi="宋体" w:eastAsia="宋体" w:cs="宋体"/>
          <w:color w:val="000000"/>
          <w:sz w:val="24"/>
          <w:szCs w:val="24"/>
        </w:rPr>
        <w:t>XX</w:t>
      </w:r>
      <w:r>
        <w:rPr>
          <w:rFonts w:hint="eastAsia" w:ascii="宋体" w:hAnsi="宋体" w:eastAsia="宋体" w:cs="宋体"/>
          <w:sz w:val="24"/>
          <w:szCs w:val="24"/>
        </w:rPr>
        <w:t>份，同级财政部门备案</w:t>
      </w:r>
      <w:r>
        <w:rPr>
          <w:rFonts w:hint="eastAsia" w:ascii="宋体" w:hAnsi="宋体" w:eastAsia="宋体" w:cs="宋体"/>
          <w:color w:val="000000"/>
          <w:sz w:val="24"/>
          <w:szCs w:val="24"/>
        </w:rPr>
        <w:t>XX</w:t>
      </w:r>
      <w:r>
        <w:rPr>
          <w:rFonts w:hint="eastAsia" w:ascii="宋体" w:hAnsi="宋体" w:eastAsia="宋体" w:cs="宋体"/>
          <w:sz w:val="24"/>
          <w:szCs w:val="24"/>
        </w:rPr>
        <w:t>份，具有同等法律效力。</w:t>
      </w:r>
    </w:p>
    <w:p w14:paraId="69F8DC27">
      <w:pPr>
        <w:pageBreakBefore w:val="0"/>
        <w:kinsoku/>
        <w:wordWrap/>
        <w:overflowPunct/>
        <w:topLinePunct w:val="0"/>
        <w:autoSpaceDE/>
        <w:autoSpaceDN/>
        <w:bidi w:val="0"/>
        <w:snapToGrid/>
        <w:spacing w:line="360" w:lineRule="auto"/>
        <w:ind w:left="0" w:firstLine="482" w:firstLineChars="200"/>
        <w:rPr>
          <w:rFonts w:hint="eastAsia" w:ascii="宋体" w:hAnsi="宋体" w:eastAsia="宋体" w:cs="宋体"/>
          <w:b/>
          <w:sz w:val="24"/>
          <w:szCs w:val="24"/>
        </w:rPr>
      </w:pPr>
      <w:r>
        <w:rPr>
          <w:rFonts w:hint="eastAsia" w:ascii="宋体" w:hAnsi="宋体" w:eastAsia="宋体" w:cs="宋体"/>
          <w:b/>
          <w:sz w:val="24"/>
          <w:szCs w:val="24"/>
        </w:rPr>
        <w:t>第十</w:t>
      </w:r>
      <w:r>
        <w:rPr>
          <w:rFonts w:hint="eastAsia" w:ascii="宋体" w:hAnsi="宋体" w:eastAsia="宋体" w:cs="宋体"/>
          <w:b/>
          <w:sz w:val="24"/>
          <w:szCs w:val="24"/>
          <w:lang w:val="en-US" w:eastAsia="zh-CN"/>
        </w:rPr>
        <w:t>六</w:t>
      </w:r>
      <w:r>
        <w:rPr>
          <w:rFonts w:hint="eastAsia" w:ascii="宋体" w:hAnsi="宋体" w:eastAsia="宋体" w:cs="宋体"/>
          <w:b/>
          <w:sz w:val="24"/>
          <w:szCs w:val="24"/>
        </w:rPr>
        <w:t>条  附件</w:t>
      </w:r>
    </w:p>
    <w:p w14:paraId="1228880C">
      <w:pPr>
        <w:pStyle w:val="11"/>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1.项目招标文件</w:t>
      </w:r>
    </w:p>
    <w:p w14:paraId="7711B90A">
      <w:pPr>
        <w:pStyle w:val="11"/>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2.项目修改澄清文件</w:t>
      </w:r>
    </w:p>
    <w:p w14:paraId="3CDD5A92">
      <w:pPr>
        <w:pStyle w:val="11"/>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3.项目投标文件</w:t>
      </w:r>
    </w:p>
    <w:p w14:paraId="25BDC9EC">
      <w:pPr>
        <w:pStyle w:val="11"/>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4.中标通知书</w:t>
      </w:r>
    </w:p>
    <w:p w14:paraId="64B004A8">
      <w:pPr>
        <w:pStyle w:val="11"/>
        <w:pageBreakBefore w:val="0"/>
        <w:kinsoku/>
        <w:wordWrap/>
        <w:overflowPunct/>
        <w:topLinePunct w:val="0"/>
        <w:autoSpaceDE/>
        <w:autoSpaceDN/>
        <w:bidi w:val="0"/>
        <w:snapToGrid/>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5.其他</w:t>
      </w:r>
    </w:p>
    <w:p w14:paraId="70D91BB2">
      <w:pPr>
        <w:spacing w:line="360" w:lineRule="auto"/>
        <w:rPr>
          <w:rFonts w:hint="eastAsia" w:ascii="宋体" w:hAnsi="宋体"/>
          <w:szCs w:val="21"/>
        </w:rPr>
      </w:pPr>
    </w:p>
    <w:p w14:paraId="3E7B584C">
      <w:pPr>
        <w:spacing w:line="360" w:lineRule="auto"/>
        <w:ind w:firstLine="420" w:firstLineChars="200"/>
        <w:rPr>
          <w:rFonts w:ascii="宋体" w:hAnsi="宋体"/>
          <w:szCs w:val="21"/>
        </w:rPr>
      </w:pPr>
      <w:r>
        <w:rPr>
          <w:rFonts w:hint="eastAsia" w:ascii="宋体" w:hAnsi="宋体"/>
          <w:szCs w:val="21"/>
        </w:rPr>
        <w:t>甲方：   （盖章）</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ascii="宋体" w:hAnsi="宋体"/>
          <w:szCs w:val="21"/>
        </w:rPr>
        <w:t xml:space="preserve">    </w:t>
      </w:r>
      <w:r>
        <w:rPr>
          <w:rFonts w:hint="eastAsia" w:ascii="宋体" w:hAnsi="宋体"/>
          <w:szCs w:val="21"/>
        </w:rPr>
        <w:t xml:space="preserve">   乙方：</w:t>
      </w:r>
      <w:r>
        <w:rPr>
          <w:rFonts w:ascii="宋体" w:hAnsi="宋体"/>
          <w:szCs w:val="21"/>
        </w:rPr>
        <w:t xml:space="preserve">   </w:t>
      </w:r>
      <w:r>
        <w:rPr>
          <w:rFonts w:hint="eastAsia" w:ascii="宋体" w:hAnsi="宋体"/>
          <w:szCs w:val="21"/>
        </w:rPr>
        <w:t>（盖章）</w:t>
      </w:r>
    </w:p>
    <w:p w14:paraId="0C1E8896">
      <w:pPr>
        <w:spacing w:line="360" w:lineRule="auto"/>
        <w:ind w:firstLine="420" w:firstLineChars="200"/>
        <w:rPr>
          <w:rFonts w:ascii="宋体" w:hAnsi="宋体"/>
          <w:szCs w:val="21"/>
        </w:rPr>
      </w:pPr>
      <w:r>
        <w:rPr>
          <w:rFonts w:hint="eastAsia" w:ascii="宋体" w:hAnsi="宋体"/>
          <w:szCs w:val="21"/>
        </w:rPr>
        <w:t>法定代表人（委托代理人）：</w:t>
      </w:r>
      <w:r>
        <w:rPr>
          <w:rFonts w:ascii="宋体" w:hAnsi="宋体"/>
          <w:szCs w:val="21"/>
        </w:rPr>
        <w:t xml:space="preserve">           </w:t>
      </w:r>
      <w:r>
        <w:rPr>
          <w:rFonts w:hint="eastAsia" w:ascii="宋体" w:hAnsi="宋体"/>
          <w:szCs w:val="21"/>
        </w:rPr>
        <w:t xml:space="preserve">   法定代表人（委托代理人）：</w:t>
      </w:r>
    </w:p>
    <w:p w14:paraId="3CB2F1C0">
      <w:pPr>
        <w:spacing w:line="360" w:lineRule="auto"/>
        <w:ind w:firstLine="420" w:firstLineChars="200"/>
        <w:rPr>
          <w:rFonts w:ascii="宋体" w:hAns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地</w:t>
      </w:r>
      <w:r>
        <w:rPr>
          <w:rFonts w:ascii="宋体" w:hAnsi="宋体"/>
          <w:szCs w:val="21"/>
        </w:rPr>
        <w:t xml:space="preserve">    </w:t>
      </w:r>
      <w:r>
        <w:rPr>
          <w:rFonts w:hint="eastAsia" w:ascii="宋体" w:hAnsi="宋体"/>
          <w:szCs w:val="21"/>
        </w:rPr>
        <w:t>址：</w:t>
      </w:r>
    </w:p>
    <w:p w14:paraId="7434A049">
      <w:pPr>
        <w:spacing w:line="360" w:lineRule="auto"/>
        <w:ind w:firstLine="420" w:firstLineChars="200"/>
        <w:rPr>
          <w:rFonts w:ascii="宋体" w:hAnsi="宋体"/>
          <w:szCs w:val="21"/>
        </w:rPr>
      </w:pPr>
      <w:r>
        <w:rPr>
          <w:rFonts w:hint="eastAsia" w:ascii="宋体" w:hAnsi="宋体"/>
          <w:szCs w:val="21"/>
        </w:rPr>
        <w:t>开户银行：</w:t>
      </w:r>
      <w:r>
        <w:rPr>
          <w:rFonts w:ascii="宋体" w:hAnsi="宋体"/>
          <w:szCs w:val="21"/>
        </w:rPr>
        <w:t xml:space="preserve">                         </w:t>
      </w:r>
      <w:r>
        <w:rPr>
          <w:rFonts w:hint="eastAsia" w:ascii="宋体" w:hAnsi="宋体"/>
          <w:szCs w:val="21"/>
        </w:rPr>
        <w:t xml:space="preserve">    开户银行：</w:t>
      </w:r>
    </w:p>
    <w:p w14:paraId="0B4EED34">
      <w:pPr>
        <w:spacing w:line="360" w:lineRule="auto"/>
        <w:ind w:firstLine="420" w:firstLineChars="200"/>
        <w:rPr>
          <w:rFonts w:ascii="宋体" w:hAnsi="宋体"/>
          <w:szCs w:val="21"/>
        </w:rPr>
      </w:pPr>
      <w:r>
        <w:rPr>
          <w:rFonts w:hint="eastAsia" w:ascii="宋体" w:hAnsi="宋体"/>
          <w:szCs w:val="21"/>
        </w:rPr>
        <w:t>账号：</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账号：</w:t>
      </w:r>
    </w:p>
    <w:p w14:paraId="75C0EC56">
      <w:pPr>
        <w:spacing w:line="360" w:lineRule="auto"/>
        <w:ind w:firstLine="420" w:firstLineChars="200"/>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rPr>
        <w:t xml:space="preserve">                         </w:t>
      </w:r>
      <w:r>
        <w:rPr>
          <w:rFonts w:hint="eastAsia" w:ascii="宋体" w:hAnsi="宋体"/>
          <w:szCs w:val="21"/>
        </w:rPr>
        <w:t xml:space="preserve">    电</w:t>
      </w:r>
      <w:r>
        <w:rPr>
          <w:rFonts w:ascii="宋体" w:hAnsi="宋体"/>
          <w:szCs w:val="21"/>
        </w:rPr>
        <w:t xml:space="preserve">    </w:t>
      </w:r>
      <w:r>
        <w:rPr>
          <w:rFonts w:hint="eastAsia" w:ascii="宋体" w:hAnsi="宋体"/>
          <w:szCs w:val="21"/>
        </w:rPr>
        <w:t>话：</w:t>
      </w:r>
    </w:p>
    <w:p w14:paraId="260BCE28">
      <w:pPr>
        <w:spacing w:line="360" w:lineRule="auto"/>
        <w:ind w:firstLine="420" w:firstLineChars="200"/>
        <w:rPr>
          <w:rFonts w:ascii="宋体" w:hAns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传</w:t>
      </w:r>
      <w:r>
        <w:rPr>
          <w:rFonts w:ascii="宋体" w:hAnsi="宋体"/>
          <w:szCs w:val="21"/>
        </w:rPr>
        <w:t xml:space="preserve">    </w:t>
      </w:r>
      <w:r>
        <w:rPr>
          <w:rFonts w:hint="eastAsia" w:ascii="宋体" w:hAnsi="宋体"/>
          <w:szCs w:val="21"/>
        </w:rPr>
        <w:t>真：</w:t>
      </w:r>
    </w:p>
    <w:p w14:paraId="0EDCB214">
      <w:pPr>
        <w:spacing w:line="360" w:lineRule="auto"/>
        <w:ind w:firstLine="420" w:firstLineChars="200"/>
      </w:pPr>
      <w:r>
        <w:rPr>
          <w:rFonts w:hint="eastAsia" w:ascii="宋体" w:hAnsi="宋体"/>
          <w:szCs w:val="21"/>
        </w:rPr>
        <w:t>签约日期：  年  月  日</w:t>
      </w:r>
      <w:r>
        <w:rPr>
          <w:rFonts w:ascii="宋体" w:hAnsi="宋体"/>
          <w:szCs w:val="21"/>
        </w:rPr>
        <w:t xml:space="preserve"> </w:t>
      </w:r>
      <w:r>
        <w:rPr>
          <w:rFonts w:ascii="宋体" w:hAnsi="宋体"/>
          <w:szCs w:val="21"/>
        </w:rPr>
        <w:tab/>
      </w:r>
      <w:r>
        <w:rPr>
          <w:rFonts w:ascii="宋体" w:hAnsi="宋体"/>
          <w:szCs w:val="21"/>
        </w:rPr>
        <w:tab/>
      </w:r>
      <w:r>
        <w:rPr>
          <w:rFonts w:ascii="宋体" w:hAnsi="宋体"/>
          <w:szCs w:val="21"/>
        </w:rPr>
        <w:tab/>
      </w:r>
      <w:r>
        <w:rPr>
          <w:rFonts w:hint="eastAsia" w:ascii="宋体" w:hAnsi="宋体"/>
          <w:szCs w:val="21"/>
        </w:rPr>
        <w:t xml:space="preserve">   签约日期：    年  月  </w:t>
      </w:r>
      <w:r>
        <w:rPr>
          <w:rFonts w:hint="eastAsia" w:ascii="宋体" w:hAnsi="宋体"/>
          <w:color w:val="000000"/>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kZmYyMDMxMGI5ZjNjMjQ3ZDYzYTg2ZWEyZWQzY2MifQ=="/>
  </w:docVars>
  <w:rsids>
    <w:rsidRoot w:val="00000000"/>
    <w:rsid w:val="174E14D1"/>
    <w:rsid w:val="1F4C3FB3"/>
    <w:rsid w:val="44215BB3"/>
    <w:rsid w:val="5F136E77"/>
    <w:rsid w:val="612A2744"/>
    <w:rsid w:val="624A6DEA"/>
    <w:rsid w:val="738B3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adjustRightInd/>
      <w:snapToGrid/>
      <w:spacing w:after="0"/>
      <w:ind w:firstLine="420"/>
      <w:jc w:val="both"/>
    </w:pPr>
    <w:rPr>
      <w:rFonts w:ascii="Times New Roman" w:hAnsi="Times New Roman" w:eastAsia="宋体" w:cs="Times New Roman"/>
      <w:kern w:val="2"/>
      <w:sz w:val="21"/>
      <w:szCs w:val="24"/>
    </w:rPr>
  </w:style>
  <w:style w:type="paragraph" w:styleId="3">
    <w:name w:val="Body Text Indent"/>
    <w:basedOn w:val="1"/>
    <w:qFormat/>
    <w:uiPriority w:val="99"/>
    <w:pPr>
      <w:spacing w:line="460" w:lineRule="exact"/>
      <w:ind w:firstLine="570"/>
    </w:pPr>
    <w:rPr>
      <w:kern w:val="0"/>
      <w:sz w:val="24"/>
    </w:rPr>
  </w:style>
  <w:style w:type="paragraph" w:styleId="5">
    <w:name w:val="Normal Indent"/>
    <w:basedOn w:val="1"/>
    <w:qFormat/>
    <w:uiPriority w:val="0"/>
    <w:pPr>
      <w:ind w:firstLine="420"/>
    </w:pPr>
    <w:rPr>
      <w:szCs w:val="20"/>
    </w:rPr>
  </w:style>
  <w:style w:type="paragraph" w:styleId="6">
    <w:name w:val="Body Text"/>
    <w:basedOn w:val="1"/>
    <w:next w:val="1"/>
    <w:qFormat/>
    <w:uiPriority w:val="99"/>
    <w:pPr>
      <w:widowControl w:val="0"/>
      <w:spacing w:after="0"/>
      <w:jc w:val="left"/>
    </w:pPr>
    <w:rPr>
      <w:kern w:val="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样式 首行缩进:  2 字符"/>
    <w:basedOn w:val="1"/>
    <w:qFormat/>
    <w:uiPriority w:val="0"/>
    <w:pPr>
      <w:spacing w:line="400" w:lineRule="exact"/>
      <w:ind w:firstLine="200" w:firstLineChars="200"/>
    </w:pPr>
    <w:rPr>
      <w:rFonts w:cs="宋体"/>
      <w:sz w:val="24"/>
    </w:rPr>
  </w:style>
  <w:style w:type="paragraph" w:styleId="11">
    <w:name w:val="List Paragraph"/>
    <w:basedOn w:val="1"/>
    <w:qFormat/>
    <w:uiPriority w:val="0"/>
    <w:pPr>
      <w:ind w:firstLine="420" w:firstLineChars="200"/>
    </w:pPr>
    <w:rPr>
      <w:sz w:val="18"/>
      <w:szCs w:val="18"/>
    </w:r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2316</Words>
  <Characters>2371</Characters>
  <Lines>0</Lines>
  <Paragraphs>0</Paragraphs>
  <TotalTime>1</TotalTime>
  <ScaleCrop>false</ScaleCrop>
  <LinksUpToDate>false</LinksUpToDate>
  <CharactersWithSpaces>2702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2023-08-11T08:21:00Z</dcterms:created>
  <dc:creator>lenovo</dc:creator>
  <cp:lastModifiedBy>Administrator</cp:lastModifiedBy>
  <dcterms:modified xsi:type="dcterms:W3CDTF">2026-03-12T08:17:07Z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15CF3D0F1ED14C74835896A0F1029D3D_12</vt:lpwstr>
  </property>
  <property fmtid="{D5CDD505-2E9C-101B-9397-08002B2CF9AE}" pid="4" name="KSOTemplateDocerSaveRecord">
    <vt:lpwstr>eyJoZGlkIjoiMjMwMTQ2MjFmOGM3MTNkNTIwNzM4N2YwYjgyYjcxM2YiLCJ1c2VySWQiOiIyMzY2MjkxODgifQ==</vt:lpwstr>
  </property>
</Properties>
</file>