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版本号：SXSHZB2026-11020260312001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鄠邑区人民医院感染性疾病科导视标识制作与安装工程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SXSHZB2026-110</w:t>
      </w:r>
      <w:r>
        <w:br/>
      </w:r>
      <w:r>
        <w:br/>
      </w:r>
      <w:r>
        <w:br/>
      </w:r>
    </w:p>
    <w:p>
      <w:pPr>
        <w:pStyle w:val="null3"/>
        <w:jc w:val="center"/>
        <w:outlineLvl w:val="2"/>
      </w:pPr>
      <w:r>
        <w:rPr>
          <w:rFonts w:ascii="仿宋_GB2312" w:hAnsi="仿宋_GB2312" w:cs="仿宋_GB2312" w:eastAsia="仿宋_GB2312"/>
          <w:sz w:val="28"/>
          <w:b/>
        </w:rPr>
        <w:t>西安市鄠邑区人民医院</w:t>
      </w:r>
    </w:p>
    <w:p>
      <w:pPr>
        <w:pStyle w:val="null3"/>
        <w:jc w:val="center"/>
        <w:outlineLvl w:val="2"/>
      </w:pPr>
      <w:r>
        <w:rPr>
          <w:rFonts w:ascii="仿宋_GB2312" w:hAnsi="仿宋_GB2312" w:cs="仿宋_GB2312" w:eastAsia="仿宋_GB2312"/>
          <w:sz w:val="28"/>
          <w:b/>
        </w:rPr>
        <w:t>陕西尚华工程管理咨询有限公司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西安市鄠邑区人民医院</w:t>
      </w:r>
      <w:r>
        <w:rPr>
          <w:rFonts w:ascii="仿宋_GB2312" w:hAnsi="仿宋_GB2312" w:cs="仿宋_GB2312" w:eastAsia="仿宋_GB2312"/>
        </w:rPr>
        <w:t>委托，拟对</w:t>
      </w:r>
      <w:r>
        <w:rPr>
          <w:rFonts w:ascii="仿宋_GB2312" w:hAnsi="仿宋_GB2312" w:cs="仿宋_GB2312" w:eastAsia="仿宋_GB2312"/>
        </w:rPr>
        <w:t>鄠邑区人民医院感染性疾病科导视标识制作与安装工程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SXSHZB2026-110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鄠邑区人民医院感染性疾病科导视标识制作与安装工程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鄠邑区人民医院西安市鄠邑区人民医院感染性疾病科导视标识制作与安装工程，主要内容为：感染性疾病科标识制作与安装。主要功能或目标:感染性疾病科标识制作与安装。各采购包的具体内容及要求详见本项目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采购包1（鄠邑区人民医院感染性疾病科导视标识制作与安装工程）：属于专门面向中小企业采购。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2、法定代表人授权书：法定代表人授权书(附法定代表人、被授权人身份证复印件)及被授权人身份证原件(法定代表人直接参加招标，须提供法定代表人身份证明及身份证原件)；非法人单位参照执行；</w:t>
      </w:r>
    </w:p>
    <w:p>
      <w:pPr>
        <w:pStyle w:val="null3"/>
      </w:pPr>
      <w:r>
        <w:rPr>
          <w:rFonts w:ascii="仿宋_GB2312" w:hAnsi="仿宋_GB2312" w:cs="仿宋_GB2312" w:eastAsia="仿宋_GB2312"/>
        </w:rPr>
        <w:t>3、财务状况报告：提供2024年或2025年度经审计的已赋码且完整的财务报告;(成立时间至提交投标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4、税收缴纳证明：提供磋商截止日前12个月内已缴纳的至少一个月的纳税证明或完税证明，纳税证明或完税证明上应有代收机构或税务机关的公章或业务专用章，依法免税的服务商应提供相关文件证明；</w:t>
      </w:r>
    </w:p>
    <w:p>
      <w:pPr>
        <w:pStyle w:val="null3"/>
      </w:pPr>
      <w:r>
        <w:rPr>
          <w:rFonts w:ascii="仿宋_GB2312" w:hAnsi="仿宋_GB2312" w:cs="仿宋_GB2312" w:eastAsia="仿宋_GB2312"/>
        </w:rPr>
        <w:t>5、社会保障资金缴纳证明：提供磋商截止日前12个月内已缴存的任意一个月的社会保障资金缴存单据或社保机构开具的社会保险参保缴费情况证明；依法不需要缴纳社会保障资金的应提供相关文件证明；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6、前三年内无重大违法记录：参加政府采购活动前3年内，在经营活动中没有重大违法记录；</w:t>
      </w:r>
    </w:p>
    <w:p>
      <w:pPr>
        <w:pStyle w:val="null3"/>
      </w:pPr>
      <w:r>
        <w:rPr>
          <w:rFonts w:ascii="仿宋_GB2312" w:hAnsi="仿宋_GB2312" w:cs="仿宋_GB2312" w:eastAsia="仿宋_GB2312"/>
        </w:rPr>
        <w:t>7、书面声明：提供具有履行本合同所必需的设备和专业技术能力的声明；</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9、是否面向中、小企业采购：本项目为专门面向中小企业采购项目。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鄠邑区渼陂西路5号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189 6661 0080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西安市雁塔区团结南路与科技四路交叉口东北角高新新天地 T3-11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刘瑶、陶治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17319982286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采购包1：450,223.00元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计价格[2002]1980号文、《国家发展改革委关于降低部分建设项目收费标准规范收费行为等有关问题的通知》发改价格[2011]534号文件规定，按标准计取代理服务费，不足6000元按6000元收取，由成交供应商在领取成交通知书前一次性付清。。 账户名称：陕西尚华工程管理咨询有限公司 开户银行：招商银行西安分行营业部 账号：1299 0486 0210 401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西安市鄠邑区人民医院</w:t>
      </w:r>
      <w:r>
        <w:rPr>
          <w:rFonts w:ascii="仿宋_GB2312" w:hAnsi="仿宋_GB2312" w:cs="仿宋_GB2312" w:eastAsia="仿宋_GB2312"/>
        </w:rPr>
        <w:t>和</w:t>
      </w:r>
      <w:r>
        <w:rPr>
          <w:rFonts w:ascii="仿宋_GB2312" w:hAnsi="仿宋_GB2312" w:cs="仿宋_GB2312" w:eastAsia="仿宋_GB2312"/>
        </w:rPr>
        <w:t>陕西尚华工程管理咨询有限公司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陕西尚华工程管理咨询有限公司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陕西尚华工程管理咨询有限公司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陕西尚华工程管理咨询有限公司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联系人：刘瑶、陶治</w:t>
      </w:r>
    </w:p>
    <w:p>
      <w:pPr>
        <w:pStyle w:val="null3"/>
      </w:pPr>
      <w:r>
        <w:rPr>
          <w:rFonts w:ascii="仿宋_GB2312" w:hAnsi="仿宋_GB2312" w:cs="仿宋_GB2312" w:eastAsia="仿宋_GB2312"/>
        </w:rPr>
        <w:t>联系电话：17319982286</w:t>
      </w:r>
    </w:p>
    <w:p>
      <w:pPr>
        <w:pStyle w:val="null3"/>
      </w:pPr>
      <w:r>
        <w:rPr>
          <w:rFonts w:ascii="仿宋_GB2312" w:hAnsi="仿宋_GB2312" w:cs="仿宋_GB2312" w:eastAsia="仿宋_GB2312"/>
        </w:rPr>
        <w:t>地址：西安市雁塔区团结南路与科技四路交叉口东北角高新新天地 T3-11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450,223.00</w:t>
      </w:r>
    </w:p>
    <w:p>
      <w:pPr>
        <w:pStyle w:val="null3"/>
      </w:pPr>
      <w:r>
        <w:rPr>
          <w:rFonts w:ascii="仿宋_GB2312" w:hAnsi="仿宋_GB2312" w:cs="仿宋_GB2312" w:eastAsia="仿宋_GB2312"/>
        </w:rPr>
        <w:t>采购包最高限价（元）: 450,223.00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标识制作与安装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450,223.00</w:t>
            </w:r>
          </w:p>
        </w:tc>
        <w:tc>
          <w:tcPr>
            <w:tcW w:type="dxa" w:w="1384"/>
          </w:tcPr>
          <w:p>
            <w:pPr>
              <w:pStyle w:val="null3"/>
            </w:pPr>
            <w:r>
              <w:rPr>
                <w:rFonts w:ascii="仿宋_GB2312" w:hAnsi="仿宋_GB2312" w:cs="仿宋_GB2312" w:eastAsia="仿宋_GB2312"/>
              </w:rPr>
              <w:t>次</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标的名称：标识制作与安装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80"/>
              <w:gridCol w:w="474"/>
              <w:gridCol w:w="838"/>
              <w:gridCol w:w="263"/>
              <w:gridCol w:w="292"/>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鄠邑区人民医院导视系统明细表</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内容</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室外发光字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1.5m*1.5m*8个</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不锈钢包边</w:t>
                  </w:r>
                  <w:r>
                    <w:rPr>
                      <w:rFonts w:ascii="仿宋_GB2312" w:hAnsi="仿宋_GB2312" w:cs="仿宋_GB2312" w:eastAsia="仿宋_GB2312"/>
                      <w:sz w:val="21"/>
                      <w:color w:val="000000"/>
                    </w:rPr>
                    <w:t>3mm亚克力面板发光字+镀锌角钢喷漆除锈+套线管保护防雨处理</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无障碍急救通道导视牌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500*1800mm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+表面氟碳烤漆+内容丝网印+内置热镀锌方管龙骨</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无障碍急救通道墙贴标牌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750*250mm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大厅楼层总索引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2400*1350mm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挂号收费药房标识吊牌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多功能导视牌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科室指示、警示吊牌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贴墙区域指示牌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+图文镂空背衬3mm亚克力内置led光源（色温6500k）</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地贴指示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3m专用地贴膜覆斜纹膜</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楼层提示牌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不锈钢激光切割焊接表面氟碳烤漆</w:t>
                  </w:r>
                  <w:r>
                    <w:rPr>
                      <w:rFonts w:ascii="仿宋_GB2312" w:hAnsi="仿宋_GB2312" w:cs="仿宋_GB2312" w:eastAsia="仿宋_GB2312"/>
                      <w:sz w:val="21"/>
                      <w:color w:val="000000"/>
                    </w:rPr>
                    <w:t>+亚克力立体字烤漆</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楼层索引牌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600*1000mm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+表面氟碳烤漆+内容丝网印+内置热镀锌方管龙骨</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电梯内部索引牌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700*1250mm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+表面氟碳烤漆+内容丝网印+内置热镀锌方管龙骨</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消防疏散图</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420*285mm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卫生间门牌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200*280mm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禁止吸烟牌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300*150mm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温馨提示贴牌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安全警示牌</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300*300mm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不锈钢焊接造型</w:t>
                  </w:r>
                  <w:r>
                    <w:rPr>
                      <w:rFonts w:ascii="仿宋_GB2312" w:hAnsi="仿宋_GB2312" w:cs="仿宋_GB2312" w:eastAsia="仿宋_GB2312"/>
                      <w:sz w:val="21"/>
                      <w:color w:val="000000"/>
                    </w:rPr>
                    <w:t>+表面氟碳烤漆+内容丝网印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垃圾箱贴</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3m背胶车贴高精打印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一楼玻璃门贴</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120mm*60000mm</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3m背胶车贴高精打印</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必须达到国家及所在地的法律、法规、规章、规范性文件、行业技术标准，满足磋商文件要求。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必须达到国家及所在地的法律、法规、规章、规范性文件、行业技术标准，满足磋商文件要求。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3.3.1合格供应商少于3家的处理 3.4.1.1评审过程中，若出现合格供应商只有2家时，符合《政府采购竞争性磋商采购方式管理暂行办法》第3条第4项情形的，或者本项目为政府购买服务指导性目录中的，可以继续进行；只有1家时，采购人应依法重新组织采购活动。3.4.1.2评审过程中，除符合第3.4.1.1条条款规定情形外，若出现合格供应商少于3家时，采购人应依法重新组织采购活动。 3.4.2本项目需要落实的政府采购政策：（1）《国务院办公厅关于建立政府强制采购节能产品制度的通知》（国办发〔2007〕51号）；（2）《财政部 司法部 关于政府采购支持监狱企业发展有关问题的通知》（财库〔2014〕68号）；（3）《三部门联合发布关于促进残疾人就业政 府采购政策的通知》（财库〔2017〕141号）；（4）《财政部 发展改革委 生态环境部 市场监管总局关于调整优化节能产 品、环境标志产品政府采购执行机制的通知》（财库〔2019〕9号）；（5）《关于印发节能产品政府采购品目清单的通知》（财库〔2019〕19号）；（6）《关于印发环境标志产品政府采购品目清单的通知》（财库〔2019〕18号）；（7）《关于 运用政府采购政策支持乡村产业振兴的通知》（财库〔2021〕19号）；（8）《政府采购促进中小企业发展管理办法》（财 库〔2020〕46号）；（9）《关于进一步加大政府采购支持中小企业力度的通知》（财库〔2022〕19号；（10）《陕西省 中小企业政府采购信用融资办法》（陕财办采〔2018〕23号）；（11）《陕西省财政厅关于加快推进我省中小企业政府采购 信用融资工作的通知》（陕财办采〔2020〕15号）；（12）《关于进一步加强政府绿色采购有关问题的通知》陕财办采 〔2021〕29号；（13）《陕西省财政厅、中国人民银行西安分行关于深入推进政府采购信用融资业务的通知》（陕财办采 〔2023〕5号）；（14）其他需要落实的政府采购政策，如有最新颁布的政府采购政策，按最新的文件执行。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3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已赋码且完整的财务报告;(成立时间至提交投标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已赋码且完整的财务报告;(成立时间至提交投标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提供磋商截止日前12个月内已缴纳的至少一个月的纳税证明或完税证明，纳税证明或完税证明上应有代收机构或税务机关的公章或业务专用章，依法免税的服务商应提供相关文件证明；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提供磋商截止日前12个月内已缴存的任意一个月的社会保障资金缴存单据或社保机构开具的社会保险参保缴费情况证明；依法不需要缴纳社会保障资金的应提供相关文件证明；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本项目为专门面向中小企业采购项目。</w:t>
            </w:r>
          </w:p>
        </w:tc>
        <w:tc>
          <w:tcPr>
            <w:tcW w:type="dxa" w:w="1661"/>
          </w:tcPr>
          <w:p>
            <w:pPr>
              <w:pStyle w:val="null3"/>
            </w:pPr>
            <w:r>
              <w:rPr>
                <w:rFonts w:ascii="仿宋_GB2312" w:hAnsi="仿宋_GB2312" w:cs="仿宋_GB2312" w:eastAsia="仿宋_GB2312"/>
              </w:rPr>
              <w:t>供应商应提交的相关资格证明材料 供应商资格证明文件（特殊资格）.docx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响应方案说明.docx 已标价工程量清单 中小企业声明函 技术服务合同条款及其他商务要求应答表 供应商应提交的相关资格证明材料 强制优先采购产品承诺函 响应文件封面 分项报价表.docx 项目管理机构组成表 残疾人福利性单位声明函 报价函 标的清单 供应商类似项目业绩一览表 响应函 供应商资格证明文件（特殊资格）.docx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供应商应提供自2023年1月1日以来至今（时间以合同签订时间为准）已承接类似业绩证明材料，提供1项有效业绩证明材料的复印件或扫描件得2.5分,本项最高得5分，未提供的不得分。 评审依据：业绩证明材料以合同或中标通知书的扫描件或复印件为准；业绩证明材料时间以合同签订时间或中标通知书中所体现的时间为准，业绩证明材料未能体现时间或不符合上述要求的不予赋分；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施工总体方案内容至少包括①施工准备;②施工方法;③重点难点工程分析及解决措施;④影响正常施工外在因素分析及对应预案；⑤车辆、设备、工具配置明细等。 以上内容专门针对本项目且阐述明晰、全面、合理得20分，每缺一项内容扣4分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施工组织和项目管理机构内容至少包括①项目管理机构图、岗位安排及职责;②管理制度及相应的协调措施等。 以上内容专门针对本项目且符合本项目实际需求的得10分，每缺一项内容扣5分，若上述内容存在瑕疵，每存在1处瑕疵扣1分，扣完为止。 注：以上提供的人员必须为本公司在职人员。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应急预案内容至少包括①恶劣天气影响应急预案；②设施设备应急预案；③重大检查、临检应急预案等。 以上内容专门针对本项目且阐述明晰、全面、合理得15分，每缺一项内容扣5分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安全保障措施内容至少包括①人员安全保障措施；②设备、车辆安全保障措施；③安全责任划分标准；④安全事故的应对措施等。 以上内容专门针对本项目且阐述明晰、全面、合理得20分，每缺一项内容扣5分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详见附件：供应商资格证明文件（特殊资格）.docx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