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版本号：HYZB-CS-202600620260313001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西安市鄠邑区石井街道镇区污水管网及接户工程设计项目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HYZB-CS-2026006</w:t>
      </w:r>
      <w:r>
        <w:br/>
      </w:r>
      <w:r>
        <w:br/>
      </w:r>
      <w:r>
        <w:br/>
      </w:r>
    </w:p>
    <w:p>
      <w:pPr>
        <w:pStyle w:val="null3"/>
        <w:jc w:val="center"/>
        <w:outlineLvl w:val="2"/>
      </w:pPr>
      <w:r>
        <w:rPr>
          <w:rFonts w:ascii="仿宋_GB2312" w:hAnsi="仿宋_GB2312" w:cs="仿宋_GB2312" w:eastAsia="仿宋_GB2312"/>
          <w:sz w:val="28"/>
          <w:b/>
        </w:rPr>
        <w:t>西安市鄠邑区污水管理中心</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西安市鄠邑区污水管理中心</w:t>
      </w:r>
      <w:r>
        <w:rPr>
          <w:rFonts w:ascii="仿宋_GB2312" w:hAnsi="仿宋_GB2312" w:cs="仿宋_GB2312" w:eastAsia="仿宋_GB2312"/>
        </w:rPr>
        <w:t>委托，拟对</w:t>
      </w:r>
      <w:r>
        <w:rPr>
          <w:rFonts w:ascii="仿宋_GB2312" w:hAnsi="仿宋_GB2312" w:cs="仿宋_GB2312" w:eastAsia="仿宋_GB2312"/>
        </w:rPr>
        <w:t>西安市鄠邑区石井街道镇区污水管网及接户工程设计项目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HYZB-CS-2026006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西安市鄠邑区石井街道镇区污水管网及接户工程设计项目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通过对石井街道未建设的污水主管网及接户管网的设计，完成方案设计、初步设计、施工图设计三个阶段全部设计工作，以及相关的环保、消防、节能等专项报批工作，从而收集村民生活污水至污水管网，最终排至已建成的污水处理站处理达标后进行排放。从根本上解决村民生活污水问题，完善鄠邑石井街道污水治理设施及已建成污水站发挥应有的作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采购包1（西安市鄠邑区石井街道镇区污水管网及接户工程设计项目）：属于专门面向小微企业采购。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p>
      <w:pPr>
        <w:pStyle w:val="null3"/>
      </w:pPr>
      <w:r>
        <w:rPr>
          <w:rFonts w:ascii="仿宋_GB2312" w:hAnsi="仿宋_GB2312" w:cs="仿宋_GB2312" w:eastAsia="仿宋_GB2312"/>
        </w:rPr>
        <w:t>2、财务要求：提供2024年度或2025年度的财务审计报告或投标文件截止时间前六个月内其基本账户开户银行出具的资信证明（附基本存款账户信息）。</w:t>
      </w:r>
    </w:p>
    <w:p>
      <w:pPr>
        <w:pStyle w:val="null3"/>
      </w:pPr>
      <w:r>
        <w:rPr>
          <w:rFonts w:ascii="仿宋_GB2312" w:hAnsi="仿宋_GB2312" w:cs="仿宋_GB2312" w:eastAsia="仿宋_GB2312"/>
        </w:rPr>
        <w:t>3、纳税要求：提供投标文件递交截止时间前近一年任意一个月已缴纳完税凭证或税务机关开具的完税证明；依法免税的应提供相关文件证明。</w:t>
      </w:r>
    </w:p>
    <w:p>
      <w:pPr>
        <w:pStyle w:val="null3"/>
      </w:pPr>
      <w:r>
        <w:rPr>
          <w:rFonts w:ascii="仿宋_GB2312" w:hAnsi="仿宋_GB2312" w:cs="仿宋_GB2312" w:eastAsia="仿宋_GB2312"/>
        </w:rPr>
        <w:t>4、社保要求：提供投标文件递交截止时间前近一年任意一个月已缴纳的社会保障资金缴存单据或社保机构开具的社会保险参保缴费情况证明；依法不需要缴纳社会保障资金的应提供相关文件证明。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5、具备履行合同所必需的设备和专业技术能力承诺：具备履行合同所必需的设备和专业技术能力承诺。</w:t>
      </w:r>
    </w:p>
    <w:p>
      <w:pPr>
        <w:pStyle w:val="null3"/>
      </w:pPr>
      <w:r>
        <w:rPr>
          <w:rFonts w:ascii="仿宋_GB2312" w:hAnsi="仿宋_GB2312" w:cs="仿宋_GB2312" w:eastAsia="仿宋_GB2312"/>
        </w:rPr>
        <w:t>6、没有重大违法记录书面声明：参加政府采购活动前3年内，在经营活动中没有重大违法记录书面声明。</w:t>
      </w:r>
    </w:p>
    <w:p>
      <w:pPr>
        <w:pStyle w:val="null3"/>
      </w:pPr>
      <w:r>
        <w:rPr>
          <w:rFonts w:ascii="仿宋_GB2312" w:hAnsi="仿宋_GB2312" w:cs="仿宋_GB2312" w:eastAsia="仿宋_GB2312"/>
        </w:rPr>
        <w:t>7、信用要求：未被列入“信用中国”网站（www.creditchina.gov.cn）、“中国政府采购网”网站（www.ccgp.gov.cn）失信被执行人名单、重大税收违法案件当事人名单、政府采购严重违法失信行为记录名单。</w:t>
      </w:r>
    </w:p>
    <w:p>
      <w:pPr>
        <w:pStyle w:val="null3"/>
      </w:pPr>
      <w:r>
        <w:rPr>
          <w:rFonts w:ascii="仿宋_GB2312" w:hAnsi="仿宋_GB2312" w:cs="仿宋_GB2312" w:eastAsia="仿宋_GB2312"/>
        </w:rPr>
        <w:t>8、投标人关联关系：单位负责人为同一人或者存在直接控股、管理关系的不同投标人，不得参加同一合同项下的投标活动。</w:t>
      </w:r>
    </w:p>
    <w:p>
      <w:pPr>
        <w:pStyle w:val="null3"/>
      </w:pPr>
      <w:r>
        <w:rPr>
          <w:rFonts w:ascii="仿宋_GB2312" w:hAnsi="仿宋_GB2312" w:cs="仿宋_GB2312" w:eastAsia="仿宋_GB2312"/>
        </w:rPr>
        <w:t>9、授权书或法人身份证明：法定代表人授权书及被授权人身份证（法定代表人直接参加磋商的须提供其法定代表人身份证），非法人单位参照执行。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西安市鄠邑区污水管理中心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西安市鄠邑区污水管理中心经办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13649231631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13109522910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 《关于招标代理服务收费有关问题的通知》(发改办价格[2003]857号)的标准计取。不足5000元，按5000元收取。供应商将招标代理服务费计入磋商报价但不单独列明，成交单位在领取成交通知书前，须向采购代理机构一次性支付招标代理服务费；代理服务费以转账、电汇或现金等形式交纳。户名：陕西翰元工程咨询有限公司开户行：中国工商银行股份有限公司西安经济技术开发区支行账号：3700000609200242371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西安市鄠邑区污水管理中心</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西安市鄠邑区污水管理中心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西安市鄠邑区污水管理中心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联系电话：13109522910</w:t>
      </w:r>
    </w:p>
    <w:p>
      <w:pPr>
        <w:pStyle w:val="null3"/>
      </w:pPr>
      <w:r>
        <w:rPr>
          <w:rFonts w:ascii="仿宋_GB2312" w:hAnsi="仿宋_GB2312" w:cs="仿宋_GB2312" w:eastAsia="仿宋_GB2312"/>
        </w:rPr>
        <w:t>地址：陕西省西安市未央区陕西省西安市浐灞生态区欧亚大道西段666号欧亚国际一期A座1401室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通过对石井街道未建设的污水主管网及接户管网的设计，完成方案设计、初步设计、施工图设计三个阶段全部设计工作，以及相关的环保、消防、节能等专项报批工作，从而收集村民生活污水至污水管网，最终排至已建成的污水处理站处理达标后进行排放。从根本上解决村民生活污水问题，完善鄠邑石井街道污水治理设施及已建成污水站发挥应有的作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西安市鄠邑区石井街道镇区污水管网及接户工程设计项目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标的名称：西安市鄠邑区石井街道镇区污水管网及接户工程设计项目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建设背景和服务范围：</w:t>
            </w:r>
          </w:p>
          <w:p>
            <w:pPr>
              <w:pStyle w:val="null3"/>
              <w:ind w:firstLine="480"/>
              <w:jc w:val="both"/>
            </w:pPr>
            <w:r>
              <w:rPr>
                <w:rFonts w:ascii="仿宋_GB2312" w:hAnsi="仿宋_GB2312" w:cs="仿宋_GB2312" w:eastAsia="仿宋_GB2312"/>
                <w:sz w:val="24"/>
              </w:rPr>
              <w:t>鄠邑区石井街道已通过</w:t>
            </w:r>
            <w:r>
              <w:rPr>
                <w:rFonts w:ascii="仿宋_GB2312" w:hAnsi="仿宋_GB2312" w:cs="仿宋_GB2312" w:eastAsia="仿宋_GB2312"/>
                <w:sz w:val="24"/>
              </w:rPr>
              <w:t>“鄠邑区石井镇</w:t>
            </w:r>
            <w:r>
              <w:rPr>
                <w:rFonts w:ascii="仿宋_GB2312" w:hAnsi="仿宋_GB2312" w:cs="仿宋_GB2312" w:eastAsia="仿宋_GB2312"/>
                <w:sz w:val="24"/>
              </w:rPr>
              <w:t>2017</w:t>
            </w:r>
            <w:r>
              <w:rPr>
                <w:rFonts w:ascii="仿宋_GB2312" w:hAnsi="仿宋_GB2312" w:cs="仿宋_GB2312" w:eastAsia="仿宋_GB2312"/>
                <w:sz w:val="24"/>
              </w:rPr>
              <w:t>年度农村环境综合整治项目”及“鄠邑区石井镇镇区污水管网及接户工程”建设了镇区污水处理站、部分污水收集管道和接户管道，对镇区部分区域居民生活污水进行了收集和处理。</w:t>
            </w:r>
          </w:p>
          <w:p>
            <w:pPr>
              <w:pStyle w:val="null3"/>
              <w:ind w:firstLine="480"/>
              <w:jc w:val="both"/>
            </w:pPr>
            <w:r>
              <w:rPr>
                <w:rFonts w:ascii="仿宋_GB2312" w:hAnsi="仿宋_GB2312" w:cs="仿宋_GB2312" w:eastAsia="仿宋_GB2312"/>
                <w:sz w:val="24"/>
              </w:rPr>
              <w:t>石井街办已建成污水处理站规模为</w:t>
            </w:r>
            <w:r>
              <w:rPr>
                <w:rFonts w:ascii="仿宋_GB2312" w:hAnsi="仿宋_GB2312" w:cs="仿宋_GB2312" w:eastAsia="仿宋_GB2312"/>
                <w:sz w:val="24"/>
              </w:rPr>
              <w:t>400m3/d</w:t>
            </w:r>
            <w:r>
              <w:rPr>
                <w:rFonts w:ascii="仿宋_GB2312" w:hAnsi="仿宋_GB2312" w:cs="仿宋_GB2312" w:eastAsia="仿宋_GB2312"/>
                <w:sz w:val="24"/>
              </w:rPr>
              <w:t>，处理工艺为“格栅池</w:t>
            </w:r>
            <w:r>
              <w:rPr>
                <w:rFonts w:ascii="仿宋_GB2312" w:hAnsi="仿宋_GB2312" w:cs="仿宋_GB2312" w:eastAsia="仿宋_GB2312"/>
                <w:sz w:val="24"/>
              </w:rPr>
              <w:t>+</w:t>
            </w:r>
            <w:r>
              <w:rPr>
                <w:rFonts w:ascii="仿宋_GB2312" w:hAnsi="仿宋_GB2312" w:cs="仿宋_GB2312" w:eastAsia="仿宋_GB2312"/>
                <w:sz w:val="24"/>
              </w:rPr>
              <w:t>调节池</w:t>
            </w:r>
            <w:r>
              <w:rPr>
                <w:rFonts w:ascii="仿宋_GB2312" w:hAnsi="仿宋_GB2312" w:cs="仿宋_GB2312" w:eastAsia="仿宋_GB2312"/>
                <w:sz w:val="24"/>
              </w:rPr>
              <w:t>+A/A/O</w:t>
            </w:r>
            <w:r>
              <w:rPr>
                <w:rFonts w:ascii="仿宋_GB2312" w:hAnsi="仿宋_GB2312" w:cs="仿宋_GB2312" w:eastAsia="仿宋_GB2312"/>
                <w:sz w:val="24"/>
              </w:rPr>
              <w:t>生化池</w:t>
            </w:r>
            <w:r>
              <w:rPr>
                <w:rFonts w:ascii="仿宋_GB2312" w:hAnsi="仿宋_GB2312" w:cs="仿宋_GB2312" w:eastAsia="仿宋_GB2312"/>
                <w:sz w:val="24"/>
              </w:rPr>
              <w:t>+</w:t>
            </w:r>
            <w:r>
              <w:rPr>
                <w:rFonts w:ascii="仿宋_GB2312" w:hAnsi="仿宋_GB2312" w:cs="仿宋_GB2312" w:eastAsia="仿宋_GB2312"/>
                <w:sz w:val="24"/>
              </w:rPr>
              <w:t>组合渗滤湿地</w:t>
            </w:r>
            <w:r>
              <w:rPr>
                <w:rFonts w:ascii="仿宋_GB2312" w:hAnsi="仿宋_GB2312" w:cs="仿宋_GB2312" w:eastAsia="仿宋_GB2312"/>
                <w:sz w:val="24"/>
              </w:rPr>
              <w:t>+</w:t>
            </w:r>
            <w:r>
              <w:rPr>
                <w:rFonts w:ascii="仿宋_GB2312" w:hAnsi="仿宋_GB2312" w:cs="仿宋_GB2312" w:eastAsia="仿宋_GB2312"/>
                <w:sz w:val="24"/>
              </w:rPr>
              <w:t>人工湿地”，污泥采用污泥植物床进行处理，出水排入水渠最终进入涝峪河。</w:t>
            </w:r>
          </w:p>
          <w:p>
            <w:pPr>
              <w:pStyle w:val="null3"/>
              <w:ind w:firstLine="480"/>
              <w:jc w:val="both"/>
            </w:pPr>
            <w:r>
              <w:rPr>
                <w:rFonts w:ascii="仿宋_GB2312" w:hAnsi="仿宋_GB2312" w:cs="仿宋_GB2312" w:eastAsia="仿宋_GB2312"/>
                <w:sz w:val="24"/>
              </w:rPr>
              <w:t>鄠邑区石井移民搬迁安置社区</w:t>
            </w:r>
            <w:r>
              <w:rPr>
                <w:rFonts w:ascii="仿宋_GB2312" w:hAnsi="仿宋_GB2312" w:cs="仿宋_GB2312" w:eastAsia="仿宋_GB2312"/>
                <w:sz w:val="24"/>
              </w:rPr>
              <w:t>-</w:t>
            </w:r>
            <w:r>
              <w:rPr>
                <w:rFonts w:ascii="仿宋_GB2312" w:hAnsi="仿宋_GB2312" w:cs="仿宋_GB2312" w:eastAsia="仿宋_GB2312"/>
                <w:sz w:val="24"/>
              </w:rPr>
              <w:t>幸福佳苑社区共建设安置楼</w:t>
            </w:r>
            <w:r>
              <w:rPr>
                <w:rFonts w:ascii="仿宋_GB2312" w:hAnsi="仿宋_GB2312" w:cs="仿宋_GB2312" w:eastAsia="仿宋_GB2312"/>
                <w:sz w:val="24"/>
              </w:rPr>
              <w:t>12</w:t>
            </w:r>
            <w:r>
              <w:rPr>
                <w:rFonts w:ascii="仿宋_GB2312" w:hAnsi="仿宋_GB2312" w:cs="仿宋_GB2312" w:eastAsia="仿宋_GB2312"/>
                <w:sz w:val="24"/>
              </w:rPr>
              <w:t>栋，安置群众</w:t>
            </w:r>
            <w:r>
              <w:rPr>
                <w:rFonts w:ascii="仿宋_GB2312" w:hAnsi="仿宋_GB2312" w:cs="仿宋_GB2312" w:eastAsia="仿宋_GB2312"/>
                <w:sz w:val="24"/>
              </w:rPr>
              <w:t>218</w:t>
            </w:r>
            <w:r>
              <w:rPr>
                <w:rFonts w:ascii="仿宋_GB2312" w:hAnsi="仿宋_GB2312" w:cs="仿宋_GB2312" w:eastAsia="仿宋_GB2312"/>
                <w:sz w:val="24"/>
              </w:rPr>
              <w:t>户</w:t>
            </w:r>
            <w:r>
              <w:rPr>
                <w:rFonts w:ascii="仿宋_GB2312" w:hAnsi="仿宋_GB2312" w:cs="仿宋_GB2312" w:eastAsia="仿宋_GB2312"/>
                <w:sz w:val="24"/>
              </w:rPr>
              <w:t>731</w:t>
            </w:r>
            <w:r>
              <w:rPr>
                <w:rFonts w:ascii="仿宋_GB2312" w:hAnsi="仿宋_GB2312" w:cs="仿宋_GB2312" w:eastAsia="仿宋_GB2312"/>
                <w:sz w:val="24"/>
              </w:rPr>
              <w:t>人。移民安置社区污水处理站设计处理规模为</w:t>
            </w:r>
            <w:r>
              <w:rPr>
                <w:rFonts w:ascii="仿宋_GB2312" w:hAnsi="仿宋_GB2312" w:cs="仿宋_GB2312" w:eastAsia="仿宋_GB2312"/>
                <w:sz w:val="24"/>
              </w:rPr>
              <w:t>100m3/d</w:t>
            </w:r>
            <w:r>
              <w:rPr>
                <w:rFonts w:ascii="仿宋_GB2312" w:hAnsi="仿宋_GB2312" w:cs="仿宋_GB2312" w:eastAsia="仿宋_GB2312"/>
                <w:sz w:val="24"/>
              </w:rPr>
              <w:t>，设计处理工艺为“格栅</w:t>
            </w:r>
            <w:r>
              <w:rPr>
                <w:rFonts w:ascii="仿宋_GB2312" w:hAnsi="仿宋_GB2312" w:cs="仿宋_GB2312" w:eastAsia="仿宋_GB2312"/>
                <w:sz w:val="24"/>
              </w:rPr>
              <w:t>+</w:t>
            </w:r>
            <w:r>
              <w:rPr>
                <w:rFonts w:ascii="仿宋_GB2312" w:hAnsi="仿宋_GB2312" w:cs="仿宋_GB2312" w:eastAsia="仿宋_GB2312"/>
                <w:sz w:val="24"/>
              </w:rPr>
              <w:t>调节池</w:t>
            </w:r>
            <w:r>
              <w:rPr>
                <w:rFonts w:ascii="仿宋_GB2312" w:hAnsi="仿宋_GB2312" w:cs="仿宋_GB2312" w:eastAsia="仿宋_GB2312"/>
                <w:sz w:val="24"/>
              </w:rPr>
              <w:t>+</w:t>
            </w:r>
            <w:r>
              <w:rPr>
                <w:rFonts w:ascii="仿宋_GB2312" w:hAnsi="仿宋_GB2312" w:cs="仿宋_GB2312" w:eastAsia="仿宋_GB2312"/>
                <w:sz w:val="24"/>
              </w:rPr>
              <w:t>缺氧池</w:t>
            </w:r>
            <w:r>
              <w:rPr>
                <w:rFonts w:ascii="仿宋_GB2312" w:hAnsi="仿宋_GB2312" w:cs="仿宋_GB2312" w:eastAsia="仿宋_GB2312"/>
                <w:sz w:val="24"/>
              </w:rPr>
              <w:t>+</w:t>
            </w:r>
            <w:r>
              <w:rPr>
                <w:rFonts w:ascii="仿宋_GB2312" w:hAnsi="仿宋_GB2312" w:cs="仿宋_GB2312" w:eastAsia="仿宋_GB2312"/>
                <w:sz w:val="24"/>
              </w:rPr>
              <w:t>接触氧化池</w:t>
            </w:r>
            <w:r>
              <w:rPr>
                <w:rFonts w:ascii="仿宋_GB2312" w:hAnsi="仿宋_GB2312" w:cs="仿宋_GB2312" w:eastAsia="仿宋_GB2312"/>
                <w:sz w:val="24"/>
              </w:rPr>
              <w:t>+</w:t>
            </w:r>
            <w:r>
              <w:rPr>
                <w:rFonts w:ascii="仿宋_GB2312" w:hAnsi="仿宋_GB2312" w:cs="仿宋_GB2312" w:eastAsia="仿宋_GB2312"/>
                <w:sz w:val="24"/>
              </w:rPr>
              <w:t>初沉池</w:t>
            </w:r>
            <w:r>
              <w:rPr>
                <w:rFonts w:ascii="仿宋_GB2312" w:hAnsi="仿宋_GB2312" w:cs="仿宋_GB2312" w:eastAsia="仿宋_GB2312"/>
                <w:sz w:val="24"/>
              </w:rPr>
              <w:t>+</w:t>
            </w:r>
            <w:r>
              <w:rPr>
                <w:rFonts w:ascii="仿宋_GB2312" w:hAnsi="仿宋_GB2312" w:cs="仿宋_GB2312" w:eastAsia="仿宋_GB2312"/>
                <w:sz w:val="24"/>
              </w:rPr>
              <w:t>二沉池</w:t>
            </w:r>
            <w:r>
              <w:rPr>
                <w:rFonts w:ascii="仿宋_GB2312" w:hAnsi="仿宋_GB2312" w:cs="仿宋_GB2312" w:eastAsia="仿宋_GB2312"/>
                <w:sz w:val="24"/>
              </w:rPr>
              <w:t>+MBR</w:t>
            </w:r>
            <w:r>
              <w:rPr>
                <w:rFonts w:ascii="仿宋_GB2312" w:hAnsi="仿宋_GB2312" w:cs="仿宋_GB2312" w:eastAsia="仿宋_GB2312"/>
                <w:sz w:val="24"/>
              </w:rPr>
              <w:t>池</w:t>
            </w:r>
            <w:r>
              <w:rPr>
                <w:rFonts w:ascii="仿宋_GB2312" w:hAnsi="仿宋_GB2312" w:cs="仿宋_GB2312" w:eastAsia="仿宋_GB2312"/>
                <w:sz w:val="24"/>
              </w:rPr>
              <w:t>+</w:t>
            </w:r>
            <w:r>
              <w:rPr>
                <w:rFonts w:ascii="仿宋_GB2312" w:hAnsi="仿宋_GB2312" w:cs="仿宋_GB2312" w:eastAsia="仿宋_GB2312"/>
                <w:sz w:val="24"/>
              </w:rPr>
              <w:t>消毒池”。由于该污水处理设施建成已久，设备损坏，未及时进行大修及更换，导致现阶段无法正常运行，污水通过溢流管道流入排水井，并通过排水管道向北直排水渠。</w:t>
            </w:r>
          </w:p>
          <w:p>
            <w:pPr>
              <w:pStyle w:val="null3"/>
              <w:ind w:firstLine="480"/>
              <w:jc w:val="both"/>
            </w:pPr>
            <w:r>
              <w:rPr>
                <w:rFonts w:ascii="仿宋_GB2312" w:hAnsi="仿宋_GB2312" w:cs="仿宋_GB2312" w:eastAsia="仿宋_GB2312"/>
                <w:sz w:val="24"/>
              </w:rPr>
              <w:t>由于鄠邑区石井镇镇区污水管网及接户工程只有部分完成实施，根据石井街道镇区污水处理站及污水管道工程、幸福佳苑社区污水处理站现状，现需完善镇区污水管道及污水接户，同时将幸福佳苑社区污水直接引入镇区污水处理站，对镇区污水处理设施重新调试，发挥环境保护设施环保功能和效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污水管网及接户现状统计</w:t>
            </w:r>
          </w:p>
          <w:tbl>
            <w:tblPr>
              <w:tblBorders>
                <w:top w:val="none" w:color="000000" w:sz="4"/>
                <w:left w:val="none" w:color="000000" w:sz="4"/>
                <w:bottom w:val="none" w:color="000000" w:sz="4"/>
                <w:right w:val="none" w:color="000000" w:sz="4"/>
                <w:insideH w:val="none"/>
                <w:insideV w:val="none"/>
              </w:tblBorders>
            </w:tblPr>
            <w:tblGrid>
              <w:gridCol w:w="237"/>
              <w:gridCol w:w="399"/>
              <w:gridCol w:w="318"/>
              <w:gridCol w:w="237"/>
              <w:gridCol w:w="318"/>
              <w:gridCol w:w="563"/>
              <w:gridCol w:w="481"/>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7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镇名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总户数</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已完成的户数</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未完成户数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石井街道</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石西村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145</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249</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99"/>
                  <w:vMerge/>
                  <w:tcBorders>
                    <w:top w:val="none" w:color="000000" w:sz="4"/>
                    <w:left w:val="non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石中村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369</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146</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99"/>
                  <w:vMerge/>
                  <w:tcBorders>
                    <w:top w:val="none" w:color="000000" w:sz="4"/>
                    <w:left w:val="non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石东村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101</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总计</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1058</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562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496</w:t>
                  </w:r>
                </w:p>
              </w:tc>
            </w:tr>
          </w:tbl>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设计阶段：</w:t>
            </w:r>
          </w:p>
          <w:p>
            <w:pPr>
              <w:pStyle w:val="null3"/>
              <w:ind w:firstLine="480"/>
              <w:jc w:val="both"/>
            </w:pPr>
            <w:r>
              <w:rPr>
                <w:rFonts w:ascii="仿宋_GB2312" w:hAnsi="仿宋_GB2312" w:cs="仿宋_GB2312" w:eastAsia="仿宋_GB2312"/>
                <w:sz w:val="24"/>
              </w:rPr>
              <w:t>需完成本项目方案设计、初步设计、施工图设计三个阶段全部设计工作，以及设计交底、施工配合、竣工验收等全过程技术服务，并</w:t>
            </w:r>
            <w:r>
              <w:rPr>
                <w:rFonts w:ascii="仿宋_GB2312" w:hAnsi="仿宋_GB2312" w:cs="仿宋_GB2312" w:eastAsia="仿宋_GB2312"/>
                <w:sz w:val="24"/>
              </w:rPr>
              <w:t>完成项目相关的环保、消防、节能等专项报批工作，提供所需的设计资料及技术说明。</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设计内容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）对石井街镇区未治理区域居民生活污水收集管道、检查进、接户管道、接户井进行设计；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）对石井街镇区已治理区域，未完成污水接户的进行接户管道、接户井设计；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）鄠邑区石井移民搬迁安置社区</w:t>
            </w:r>
            <w:r>
              <w:rPr>
                <w:rFonts w:ascii="仿宋_GB2312" w:hAnsi="仿宋_GB2312" w:cs="仿宋_GB2312" w:eastAsia="仿宋_GB2312"/>
                <w:sz w:val="24"/>
              </w:rPr>
              <w:t>-</w:t>
            </w:r>
            <w:r>
              <w:rPr>
                <w:rFonts w:ascii="仿宋_GB2312" w:hAnsi="仿宋_GB2312" w:cs="仿宋_GB2312" w:eastAsia="仿宋_GB2312"/>
                <w:sz w:val="24"/>
              </w:rPr>
              <w:t>幸福佳苑社区污水处理设施建成已久，设备损坏，未及时进行大修及更换，导致现阶段无法正常运行，需将该安置点居民生活污水引入镇区污水处理站。因此需对该安置点生活污水并入镇区污水处理站的管道改线设计。</w:t>
            </w:r>
          </w:p>
          <w:p>
            <w:pPr>
              <w:pStyle w:val="null3"/>
              <w:ind w:firstLine="480"/>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rPr>
              <w:t>设计要求：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）完成前期方案设计及初步设计，按采购人的需求进行设计。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）对采购人的审核修改意见进行修改、完善，保证其设计意图的最终实现。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）根据项目建设进度要求及时提供各阶段报审图纸，协助采购人进行报审工作，根据审查结果进行修改调整，直至审查通过，并最终向采购人提交正式的初步设计文件及批复。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）根据采购人要求，及时参加与设计有关的专题会，现场解决技术问题。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）提交的设计文件应符合现行规程、规范等要求，并应通过相关部门的审查。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设计标准：</w:t>
            </w:r>
            <w:r>
              <w:rPr>
                <w:rFonts w:ascii="仿宋_GB2312" w:hAnsi="仿宋_GB2312" w:cs="仿宋_GB2312" w:eastAsia="仿宋_GB2312"/>
                <w:sz w:val="24"/>
              </w:rPr>
              <w:t>符合国家、行业、地方政府有关法律法规及技术规范规定。</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设计成果要求：</w:t>
            </w:r>
          </w:p>
          <w:p>
            <w:pPr>
              <w:pStyle w:val="null3"/>
              <w:ind w:firstLine="480"/>
              <w:jc w:val="both"/>
            </w:pPr>
            <w:r>
              <w:rPr>
                <w:rFonts w:ascii="仿宋_GB2312" w:hAnsi="仿宋_GB2312" w:cs="仿宋_GB2312" w:eastAsia="仿宋_GB2312"/>
                <w:sz w:val="24"/>
              </w:rPr>
              <w:t>供应商应向采购人提供合格的设计文件，包括设计说明书、有关专业的设计图纸、设计方案等。完成</w:t>
            </w:r>
            <w:r>
              <w:rPr>
                <w:rFonts w:ascii="仿宋_GB2312" w:hAnsi="仿宋_GB2312" w:cs="仿宋_GB2312" w:eastAsia="仿宋_GB2312"/>
                <w:sz w:val="24"/>
              </w:rPr>
              <w:t>项目相关的环保、消防、节能等专项报批工作。</w:t>
            </w:r>
            <w:r>
              <w:rPr>
                <w:rFonts w:ascii="仿宋_GB2312" w:hAnsi="仿宋_GB2312" w:cs="仿宋_GB2312" w:eastAsia="仿宋_GB2312"/>
                <w:sz w:val="24"/>
              </w:rPr>
              <w:t>①初步设计文件设计说明书：包括工程概况、场地现状分析、设计构思、总体布局设计说明、各专业设计说明、关键技术说明等；②方案设计；③施工图设计；④成果文件的份数要求：另行协商；⑤成果文件的载体要求：纸质版按标准图纸打印；电子版提供光盘或</w:t>
            </w:r>
            <w:r>
              <w:rPr>
                <w:rFonts w:ascii="仿宋_GB2312" w:hAnsi="仿宋_GB2312" w:cs="仿宋_GB2312" w:eastAsia="仿宋_GB2312"/>
                <w:sz w:val="24"/>
              </w:rPr>
              <w:t>U</w:t>
            </w:r>
            <w:r>
              <w:rPr>
                <w:rFonts w:ascii="仿宋_GB2312" w:hAnsi="仿宋_GB2312" w:cs="仿宋_GB2312" w:eastAsia="仿宋_GB2312"/>
                <w:sz w:val="24"/>
              </w:rPr>
              <w:t>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rPr>
              <w:t>其他说明：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）供应商提交的成果必须符合本项目所在地有关的法律法规、规范规程、标准、规划要求，并符合磋商文件的其它有关要求。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）工程造价经济合理，保证工程的经济效益、社会效益和环境效益相结合。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）设计单位应提供各阶段设计成果并配合建设单位取得相应批复文件、配合通过财政评审、配合完成施工及结算审计相关工作。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专业技术人员配置合理，对工作有有效支撑、岗位职责明确清晰得，满足项目需求。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1.根据采购人要求完成与项目有关的其他事项。 2.报价要求：供应商在充分考虑本项目的实际工作量、技术含量、难易程度、复杂性及市场风险等因素的基础上按竞争性磋商文件中的报价格式要求填报总价，包括但不限于：方案设计、施工图设计、初步设计、相关审批手续办理、配合费、以及其他完成本竞争性磋商文件规定的义务以及供应商认为有必要计入的其他费用等全部费用，除合同约定的奖罚规定之外，采购人不因任何原因调整结算价格。 3.知识产权：采购人在中华人民共和国境内使用成交人提供的服务时免受第三方提出的侵犯其专利权或其他知识产权的起诉。如果第三方提出侵权指控，成交人应承担由此而引起的一切法律责任和费用。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合同签订完成方案设计后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完成施工图设计后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1、本合同履行过程中，由于一方当事人违反本合同，给另一方当事人造成损失的，另一方当事人有权获得赔偿。 2、甲方因未履行义务，造成工作延期及相关损失由甲方负责。 3、乙方在规定的期限内未完成工作任务、未按规定的工作质量要求进行工作，应采取补救措施，返工或修改完善，直至达到本合同约定的质量要求，工期不予顺延。因此给甲方造成损失的，乙方应对直接损失负赔偿责任。 具体以签订合同为准。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提供投标文件递交截止时间前近一年任意一个月已缴纳完税凭证或税务机关开具的完税证明；依法免税的应提供相关文件证明。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提供投标文件递交截止时间前近一年任意一个月已缴纳的社会保障资金缴存单据或社保机构开具的社会保险参保缴费情况证明；依法不需要缴纳社会保障资金的应提供相关文件证明。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具备履行合同所必需的设备和专业技术能力承诺</w:t>
            </w:r>
          </w:p>
        </w:tc>
        <w:tc>
          <w:tcPr>
            <w:tcW w:type="dxa" w:w="3322"/>
          </w:tcPr>
          <w:p>
            <w:pPr>
              <w:pStyle w:val="null3"/>
            </w:pPr>
            <w:r>
              <w:rPr>
                <w:rFonts w:ascii="仿宋_GB2312" w:hAnsi="仿宋_GB2312" w:cs="仿宋_GB2312" w:eastAsia="仿宋_GB2312"/>
              </w:rPr>
              <w:t>具备履行合同所必需的设备和专业技术能力承诺。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未被列入“信用中国”网站（www.creditchina.gov.cn）、“中国政府采购网”网站（www.ccgp.gov.cn）失信被执行人名单、重大税收违法案件当事人名单、政府采购严重违法失信行为记录名单。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授权书或法人身份证明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供应商名称和公章、营业执照等一致。</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投标文件上法定代表人或被授权人的签字或盖章齐全。</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要求采购内容及要求、商务条款全部响应，不能有采购人不能接受的附加条件。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提供针对本项目的项目背景和政策研究，包括①项目背景分析；②前期项目资料收集；③针对本项目政策的研究等。 一、评审标准：1.完整性：项目背景和政策研究分析全面具体，对本项目重点、难点把控明确，有详细描述及说明；2.可实施性：切合本项目实际情况，实施步骤清晰、合理；3.针对性：项目背景和政策研究能够紧扣项目实际情况，内容科学合理。 二、赋分标准： 1.以上内容每包含一项内容，得2分，满分6分； 2.根据评审标准按提供的具体内容的完整性、可实施性、针对性横向对比得0-4分；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提供针对本项目的编制思路及工作方案，包括①整体工作目标；②工作思路；③设计方案；④内容重点及成果资料。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 1.以上内容每包含一项内容，得3分，满分12分； 2.根据评审标准按提供的具体内容的完整性、可实施性、针对性横向对比得0-6分； 3.未提供不得分。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1.每提供1人得1分，满分5分； 2.拟派项目负责人具有对应专业中级及以上职称的得1分； 3.项目组成员具有相关专业技术证书，每提供1名得1分，满分4分； 4.以供应商响应文件中所附的人员证书复印件为准，不提供则不得分。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提供针对本项目的质量保证措施，包含①项目质量保障体系；②项目整体质量管控要求；③成果文件的质量保证措施。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1.以上内容每包含一项内容，得3分，满分9分；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提供针对本项目设计阶段的工程造价控制措施：包含①造价控制常见问题梳理；②造价控制措施；③造价控制承诺。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1.以上内容每包含一项内容，得2分，满分6分；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针对本项目具有明确的服务保证措施及承诺：包含①服务承诺；②服务保证措施；③进度控制措施及承诺。 一、评审标准：1.完整性：服务保证措施及承诺全面具体，有详细描述及说明；2.可实施性：切合本项目实际情况，实施步骤清晰、合理；3.针对性：服务保证措施及承诺能够紧扣项目实际情况，内容科学合理。 二、赋分标准： 1.以上内容每包含一项内容，得2分，满分6分；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重点、难点分析及应对策略</w:t>
            </w:r>
          </w:p>
        </w:tc>
        <w:tc>
          <w:tcPr>
            <w:tcW w:type="dxa" w:w="2492"/>
          </w:tcPr>
          <w:p>
            <w:pPr>
              <w:pStyle w:val="null3"/>
            </w:pPr>
            <w:r>
              <w:rPr>
                <w:rFonts w:ascii="仿宋_GB2312" w:hAnsi="仿宋_GB2312" w:cs="仿宋_GB2312" w:eastAsia="仿宋_GB2312"/>
              </w:rPr>
              <w:t>针对本项目的理解程度，对项目的重点、难点进行分析并提出应对策略。 一、评审标准：1.完整性：合理化建议全面具体，有详细描述及说明；2.可实施性：切合本项目实际情况，实施步骤清晰、合理。 二、赋分标准： 1.根据评审标准按提供的具体内容的完整性、可实施性横向对比得0-5分。 2.未提供不得分。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提供投标文件递交截止时间前近3年，供应商承担过类似项目业绩，一个项目得2分,此项最多得6分。注：以合同协议书或中标通知书复印件为准，加盖公章。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详见附件：拟定建设工程设计合同.docx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