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版本号：JHZCZB2026032420260326001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2025年省级林业草原有害生物防治项目—美国白蛾防控</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JHZCZB20260324</w:t>
      </w:r>
      <w:r>
        <w:br/>
      </w:r>
      <w:r>
        <w:br/>
      </w:r>
      <w:r>
        <w:br/>
      </w:r>
    </w:p>
    <w:p>
      <w:pPr>
        <w:pStyle w:val="null3"/>
        <w:jc w:val="center"/>
        <w:outlineLvl w:val="2"/>
      </w:pPr>
      <w:r>
        <w:rPr>
          <w:rFonts w:ascii="仿宋_GB2312" w:hAnsi="仿宋_GB2312" w:cs="仿宋_GB2312" w:eastAsia="仿宋_GB2312"/>
          <w:sz w:val="28"/>
          <w:b/>
        </w:rPr>
        <w:t>西安市鄠邑区森林资源管理中心</w:t>
      </w:r>
    </w:p>
    <w:p>
      <w:pPr>
        <w:pStyle w:val="null3"/>
        <w:jc w:val="center"/>
        <w:outlineLvl w:val="2"/>
      </w:pPr>
      <w:r>
        <w:rPr>
          <w:rFonts w:ascii="仿宋_GB2312" w:hAnsi="仿宋_GB2312" w:cs="仿宋_GB2312" w:eastAsia="仿宋_GB2312"/>
          <w:sz w:val="28"/>
          <w:b/>
        </w:rPr>
        <w:t>陕西嘉禾沐英项目管理有限公司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陕西嘉禾沐英项目管理有限公司</w:t>
      </w:r>
      <w:r>
        <w:rPr>
          <w:rFonts w:ascii="仿宋_GB2312" w:hAnsi="仿宋_GB2312" w:cs="仿宋_GB2312" w:eastAsia="仿宋_GB2312"/>
        </w:rPr>
        <w:t>（以下简称“代理机构”）受</w:t>
      </w:r>
      <w:r>
        <w:rPr>
          <w:rFonts w:ascii="仿宋_GB2312" w:hAnsi="仿宋_GB2312" w:cs="仿宋_GB2312" w:eastAsia="仿宋_GB2312"/>
        </w:rPr>
        <w:t>西安市鄠邑区森林资源管理中心</w:t>
      </w:r>
      <w:r>
        <w:rPr>
          <w:rFonts w:ascii="仿宋_GB2312" w:hAnsi="仿宋_GB2312" w:cs="仿宋_GB2312" w:eastAsia="仿宋_GB2312"/>
        </w:rPr>
        <w:t>委托，拟对</w:t>
      </w:r>
      <w:r>
        <w:rPr>
          <w:rFonts w:ascii="仿宋_GB2312" w:hAnsi="仿宋_GB2312" w:cs="仿宋_GB2312" w:eastAsia="仿宋_GB2312"/>
        </w:rPr>
        <w:t>2025年省级林业草原有害生物防治项目—美国白蛾防控</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JHZCZB20260324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2025年省级林业草原有害生物防治项目—美国白蛾防控</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了做好2025年省级林业草原有害生物防治项目—美国白蛾防控，保护城乡生态环境安全，结合鄠邑区实际和美国白蛾虫情发展动态，选择关键节点进行诱捕器监测、普查和喷药防治，发现美国白蛾虫情实施喷药防治，监测普查面积72388.1亩，喷药预防面积不少于10000亩，同时广泛开展宣传和技术培训，动员广大干部群众开展群防群治。</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采购包1（2025年省级林业草原有害生物防治项目—美国白蛾防控）：属于专门面向中小企业采购。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2、企业资质：供应商须具有林业有害生物防治资质（防治作业）丙级及以上资质；</w:t>
      </w:r>
    </w:p>
    <w:p>
      <w:pPr>
        <w:pStyle w:val="null3"/>
      </w:pPr>
      <w:r>
        <w:rPr>
          <w:rFonts w:ascii="仿宋_GB2312" w:hAnsi="仿宋_GB2312" w:cs="仿宋_GB2312" w:eastAsia="仿宋_GB2312"/>
        </w:rPr>
        <w:t>3、财务状况报告：提供具有财务审计资质单位出具的2024年或2025年度财务审计报告（成立时间至开标时间不足一年的可提供成立后任意时段的资产负债表、现金流量表、利润表）或开标前六个月内其基本账户银行出具的资信证明（附开户许可证或基本账户证明）；</w:t>
      </w:r>
    </w:p>
    <w:p>
      <w:pPr>
        <w:pStyle w:val="null3"/>
      </w:pPr>
      <w:r>
        <w:rPr>
          <w:rFonts w:ascii="仿宋_GB2312" w:hAnsi="仿宋_GB2312" w:cs="仿宋_GB2312" w:eastAsia="仿宋_GB2312"/>
        </w:rPr>
        <w:t>4、税收缴纳证明：提供截止至开标时间前六个月内任意一个月的缴费凭据（依法免税的投标人应提供相关文件证明）；</w:t>
      </w:r>
    </w:p>
    <w:p>
      <w:pPr>
        <w:pStyle w:val="null3"/>
      </w:pPr>
      <w:r>
        <w:rPr>
          <w:rFonts w:ascii="仿宋_GB2312" w:hAnsi="仿宋_GB2312" w:cs="仿宋_GB2312" w:eastAsia="仿宋_GB2312"/>
        </w:rPr>
        <w:t>5、社会保障资金缴纳证明：提供截止至开标时间前六个月内任意一个月的社保缴费凭据或社保机构开具的社会保险参保缴费情况证明（依法不需要缴纳社会保障资金的投标人应提供相关证明）；</w:t>
      </w:r>
    </w:p>
    <w:p>
      <w:pPr>
        <w:pStyle w:val="null3"/>
      </w:pPr>
      <w:r>
        <w:rPr>
          <w:rFonts w:ascii="仿宋_GB2312" w:hAnsi="仿宋_GB2312" w:cs="仿宋_GB2312" w:eastAsia="仿宋_GB2312"/>
        </w:rPr>
        <w:t>6、专业技术能力证明：提供具有履行本合同所必需的设备和专业技术能力的书面声明；</w:t>
      </w:r>
    </w:p>
    <w:p>
      <w:pPr>
        <w:pStyle w:val="null3"/>
      </w:pPr>
      <w:r>
        <w:rPr>
          <w:rFonts w:ascii="仿宋_GB2312" w:hAnsi="仿宋_GB2312" w:cs="仿宋_GB2312" w:eastAsia="仿宋_GB2312"/>
        </w:rPr>
        <w:t>7、无重大违法记录声明：提供参加本次政府采购活动前三年内在经营活动中没有重大违法记录的书面声明；</w:t>
      </w:r>
    </w:p>
    <w:p>
      <w:pPr>
        <w:pStyle w:val="null3"/>
      </w:pPr>
      <w:r>
        <w:rPr>
          <w:rFonts w:ascii="仿宋_GB2312" w:hAnsi="仿宋_GB2312" w:cs="仿宋_GB2312" w:eastAsia="仿宋_GB2312"/>
        </w:rPr>
        <w:t>8、信誉要求：供应商未被“信用中国”网站（www.creditchina.gov.cn）列入失信被执行人和重大税收违法失信主体，未被中国政府采购网（www.ccgp.gov.cn）列入政府采购严重违法失信行为记录名单；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9、非联合体投标承诺书：本项目不接受联合体投标（供应商需提供非联合体投标承诺书）；</w:t>
      </w:r>
    </w:p>
    <w:p>
      <w:pPr>
        <w:pStyle w:val="null3"/>
      </w:pPr>
      <w:r>
        <w:rPr>
          <w:rFonts w:ascii="仿宋_GB2312" w:hAnsi="仿宋_GB2312" w:cs="仿宋_GB2312" w:eastAsia="仿宋_GB2312"/>
        </w:rPr>
        <w:t>10、关联关系：单位负责人为同一人或者存在直接控股、管理关系的不同投标人，不得参加同一合同项下的政府采购活动（供应商需提供企业关系关联承诺书）；</w:t>
      </w:r>
    </w:p>
    <w:p>
      <w:pPr>
        <w:pStyle w:val="null3"/>
      </w:pPr>
      <w:r>
        <w:rPr>
          <w:rFonts w:ascii="仿宋_GB2312" w:hAnsi="仿宋_GB2312" w:cs="仿宋_GB2312" w:eastAsia="仿宋_GB2312"/>
        </w:rPr>
        <w:t>11、法定代表人身份证明或法定代表人授权委托书：法定代表人直接参加投标的，须提供法定代表人身份证明；法定代表人授权代表参加投标的，须提供法定代表人授权委托书。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西安市鄠邑区森林资源管理中心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丰京路42号林业局4楼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西安市鄠邑区森林资源管理中心经办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17791991889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陕西嘉禾沐英项目管理有限公司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陕西省西安市雁塔区陕西省西安市高新区硕士路33号高新未未来小区1号楼2单元2204室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王文卓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15929720266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焦护群</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13572999166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招标代理服务收费管理暂行办法》（计价格[2002]1980号文）下浮20%计取[其中预算10万元以下项目（包含10万元），收费3000.00元；预算10万元以上至30万元项目（包含30万元），收费4000.00元；预算30万元以上至60万元项目（包含60万元），收费6000.00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西安市鄠邑区森林资源管理中心</w:t>
      </w:r>
      <w:r>
        <w:rPr>
          <w:rFonts w:ascii="仿宋_GB2312" w:hAnsi="仿宋_GB2312" w:cs="仿宋_GB2312" w:eastAsia="仿宋_GB2312"/>
        </w:rPr>
        <w:t>和</w:t>
      </w:r>
      <w:r>
        <w:rPr>
          <w:rFonts w:ascii="仿宋_GB2312" w:hAnsi="仿宋_GB2312" w:cs="仿宋_GB2312" w:eastAsia="仿宋_GB2312"/>
        </w:rPr>
        <w:t>陕西嘉禾沐英项目管理有限公司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西安市鄠邑区森林资源管理中心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陕西嘉禾沐英项目管理有限公司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西安市鄠邑区森林资源管理中心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陕西嘉禾沐英项目管理有限公司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甲方根据磋商文件、磋商响应文件、合同约定标准验收，甲方组织相关部门、专家进行现场验收，现场随机抽查每个街道办不少于5个行政村。</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陕西嘉禾沐英项目管理有限公司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陕西嘉禾沐英项目管理有限公司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陕西嘉禾沐英项目管理有限公司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联系人：卜娜</w:t>
      </w:r>
    </w:p>
    <w:p>
      <w:pPr>
        <w:pStyle w:val="null3"/>
      </w:pPr>
      <w:r>
        <w:rPr>
          <w:rFonts w:ascii="仿宋_GB2312" w:hAnsi="仿宋_GB2312" w:cs="仿宋_GB2312" w:eastAsia="仿宋_GB2312"/>
        </w:rPr>
        <w:t>联系电话：17792803190</w:t>
      </w:r>
    </w:p>
    <w:p>
      <w:pPr>
        <w:pStyle w:val="null3"/>
      </w:pPr>
      <w:r>
        <w:rPr>
          <w:rFonts w:ascii="仿宋_GB2312" w:hAnsi="仿宋_GB2312" w:cs="仿宋_GB2312" w:eastAsia="仿宋_GB2312"/>
        </w:rPr>
        <w:t>地址：陕西省西安市高新区硕士路33号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做好2025年省级林业草原有害生物防治项目—美国白蛾防控，保护城乡生态环境安全，结合鄠邑区实际和美国白蛾虫情发展动态，选择关键节点进行诱捕器监测、普查和喷药防治，发现美国白蛾虫情实施喷药防治，监测普查面积72388.1亩，喷药预防面积不少于10000亩，同时广泛开展宣传和技术培训，动员广大干部群众开展群防群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美国白蛾监测普查和防治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标的名称：美国白蛾监测普查和防治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61"/>
            </w:pPr>
            <w:r>
              <w:rPr>
                <w:rFonts w:ascii="仿宋_GB2312" w:hAnsi="仿宋_GB2312" w:cs="仿宋_GB2312" w:eastAsia="仿宋_GB2312"/>
                <w:sz w:val="18"/>
                <w:b/>
                <w:color w:val="000000"/>
              </w:rPr>
              <w:t>一、服务内容（包括工作区域、工作内容等）</w:t>
            </w:r>
          </w:p>
          <w:p>
            <w:pPr>
              <w:pStyle w:val="null3"/>
              <w:ind w:firstLine="360"/>
            </w:pPr>
            <w:r>
              <w:rPr>
                <w:rFonts w:ascii="仿宋_GB2312" w:hAnsi="仿宋_GB2312" w:cs="仿宋_GB2312" w:eastAsia="仿宋_GB2312"/>
                <w:sz w:val="18"/>
                <w:color w:val="000000"/>
              </w:rPr>
              <w:t>施工位于鄠邑区辖区内</w:t>
            </w:r>
            <w:r>
              <w:rPr>
                <w:rFonts w:ascii="仿宋_GB2312" w:hAnsi="仿宋_GB2312" w:cs="仿宋_GB2312" w:eastAsia="仿宋_GB2312"/>
                <w:sz w:val="18"/>
                <w:color w:val="000000"/>
              </w:rPr>
              <w:t>10街道和1景区管理局的193个行政村，负责辖区内监测普查。具体如下：</w:t>
            </w:r>
          </w:p>
          <w:p>
            <w:pPr>
              <w:pStyle w:val="null3"/>
              <w:ind w:firstLine="360"/>
            </w:pPr>
            <w:r>
              <w:rPr>
                <w:rFonts w:ascii="仿宋_GB2312" w:hAnsi="仿宋_GB2312" w:cs="仿宋_GB2312" w:eastAsia="仿宋_GB2312"/>
                <w:sz w:val="18"/>
                <w:color w:val="000000"/>
              </w:rPr>
              <w:t>负责涝店街道、甘河街道、玉蝉街道、祖庵街道和蒋村镇街道辖区、五竹街道、渭丰街道、甘亭街道、余下街道、石井街道和景区管理局辖区，监测普查面积不少于</w:t>
            </w:r>
            <w:r>
              <w:rPr>
                <w:rFonts w:ascii="仿宋_GB2312" w:hAnsi="仿宋_GB2312" w:cs="仿宋_GB2312" w:eastAsia="仿宋_GB2312"/>
                <w:sz w:val="18"/>
                <w:color w:val="000000"/>
              </w:rPr>
              <w:t>72388.1亩，喷</w:t>
            </w:r>
            <w:r>
              <w:rPr>
                <w:rFonts w:ascii="仿宋_GB2312" w:hAnsi="仿宋_GB2312" w:cs="仿宋_GB2312" w:eastAsia="仿宋_GB2312"/>
                <w:sz w:val="18"/>
                <w:color w:val="000000"/>
              </w:rPr>
              <w:t>药防治面积不少于</w:t>
            </w:r>
            <w:r>
              <w:rPr>
                <w:rFonts w:ascii="仿宋_GB2312" w:hAnsi="仿宋_GB2312" w:cs="仿宋_GB2312" w:eastAsia="仿宋_GB2312"/>
                <w:sz w:val="18"/>
                <w:color w:val="000000"/>
              </w:rPr>
              <w:t>10000亩</w:t>
            </w:r>
            <w:r>
              <w:rPr>
                <w:rFonts w:ascii="仿宋_GB2312" w:hAnsi="仿宋_GB2312" w:cs="仿宋_GB2312" w:eastAsia="仿宋_GB2312"/>
                <w:sz w:val="18"/>
                <w:color w:val="000000"/>
              </w:rPr>
              <w:t>，</w:t>
            </w:r>
          </w:p>
          <w:p>
            <w:pPr>
              <w:pStyle w:val="null3"/>
              <w:ind w:firstLine="361"/>
            </w:pPr>
            <w:r>
              <w:rPr>
                <w:rFonts w:ascii="仿宋_GB2312" w:hAnsi="仿宋_GB2312" w:cs="仿宋_GB2312" w:eastAsia="仿宋_GB2312"/>
                <w:sz w:val="18"/>
                <w:b/>
                <w:color w:val="000000"/>
              </w:rPr>
              <w:t>二、</w:t>
            </w:r>
            <w:r>
              <w:rPr>
                <w:rFonts w:ascii="仿宋_GB2312" w:hAnsi="仿宋_GB2312" w:cs="仿宋_GB2312" w:eastAsia="仿宋_GB2312"/>
                <w:sz w:val="18"/>
                <w:b/>
                <w:color w:val="000000"/>
              </w:rPr>
              <w:t>技术要求</w:t>
            </w:r>
          </w:p>
          <w:p>
            <w:pPr>
              <w:pStyle w:val="null3"/>
              <w:ind w:firstLine="360"/>
            </w:pPr>
            <w:r>
              <w:rPr>
                <w:rFonts w:ascii="仿宋_GB2312" w:hAnsi="仿宋_GB2312" w:cs="仿宋_GB2312" w:eastAsia="仿宋_GB2312"/>
                <w:sz w:val="18"/>
                <w:color w:val="000000"/>
              </w:rPr>
              <w:t>根据</w:t>
            </w:r>
            <w:r>
              <w:rPr>
                <w:rFonts w:ascii="仿宋_GB2312" w:hAnsi="仿宋_GB2312" w:cs="仿宋_GB2312" w:eastAsia="仿宋_GB2312"/>
                <w:sz w:val="18"/>
                <w:color w:val="000000"/>
              </w:rPr>
              <w:t>《美国白蛾防治技术规范</w:t>
            </w:r>
            <w:r>
              <w:rPr>
                <w:rFonts w:ascii="仿宋_GB2312" w:hAnsi="仿宋_GB2312" w:cs="仿宋_GB2312" w:eastAsia="仿宋_GB2312"/>
                <w:sz w:val="18"/>
                <w:color w:val="000000"/>
              </w:rPr>
              <w:t>DB 61/T 1677—2023》</w:t>
            </w:r>
            <w:r>
              <w:rPr>
                <w:rFonts w:ascii="仿宋_GB2312" w:hAnsi="仿宋_GB2312" w:cs="仿宋_GB2312" w:eastAsia="仿宋_GB2312"/>
                <w:sz w:val="18"/>
                <w:color w:val="000000"/>
              </w:rPr>
              <w:t>和《美国白蛾</w:t>
            </w:r>
            <w:r>
              <w:rPr>
                <w:rFonts w:ascii="仿宋_GB2312" w:hAnsi="仿宋_GB2312" w:cs="仿宋_GB2312" w:eastAsia="仿宋_GB2312"/>
                <w:sz w:val="18"/>
                <w:color w:val="000000"/>
              </w:rPr>
              <w:t>防治技术</w:t>
            </w:r>
            <w:r>
              <w:rPr>
                <w:rFonts w:ascii="仿宋_GB2312" w:hAnsi="仿宋_GB2312" w:cs="仿宋_GB2312" w:eastAsia="仿宋_GB2312"/>
                <w:sz w:val="18"/>
                <w:color w:val="000000"/>
              </w:rPr>
              <w:t>规程</w:t>
            </w:r>
            <w:r>
              <w:rPr>
                <w:rFonts w:ascii="仿宋_GB2312" w:hAnsi="仿宋_GB2312" w:cs="仿宋_GB2312" w:eastAsia="仿宋_GB2312"/>
                <w:sz w:val="18"/>
                <w:color w:val="000000"/>
              </w:rPr>
              <w:t>LY/T2111-2013》，以美国白蛾虫情监测、普查和防治为重点，精准进行喷药预防，保护我区生态安全和生态文明建设成果，巩固美国白蛾防控成果。</w:t>
            </w:r>
          </w:p>
          <w:p>
            <w:pPr>
              <w:pStyle w:val="null3"/>
              <w:ind w:firstLine="360"/>
            </w:pPr>
            <w:r>
              <w:rPr>
                <w:rFonts w:ascii="仿宋_GB2312" w:hAnsi="仿宋_GB2312" w:cs="仿宋_GB2312" w:eastAsia="仿宋_GB2312"/>
                <w:sz w:val="18"/>
                <w:color w:val="000000"/>
              </w:rPr>
              <w:t>1、监测：</w:t>
            </w:r>
            <w:r>
              <w:rPr>
                <w:rFonts w:ascii="仿宋_GB2312" w:hAnsi="仿宋_GB2312" w:cs="仿宋_GB2312" w:eastAsia="仿宋_GB2312"/>
                <w:sz w:val="18"/>
                <w:color w:val="000000"/>
              </w:rPr>
              <w:t>美国白蛾诱捕器由采购人提供</w:t>
            </w:r>
            <w:r>
              <w:rPr>
                <w:rFonts w:ascii="仿宋_GB2312" w:hAnsi="仿宋_GB2312" w:cs="仿宋_GB2312" w:eastAsia="仿宋_GB2312"/>
                <w:sz w:val="18"/>
                <w:color w:val="000000"/>
              </w:rPr>
              <w:t>300套，按照2平方千米布设至少1套，风险点加密500米布设3套，4月5日前布设到位；如发现疑似虫情，2000米范围内500米网格加密悬挂，诱捕器每3天监测调查一次，查看是否诱捕到成虫，性诱芯粘贴是否牢靠，诱捕器水位高低、水质是否清洁，诱捕器悬挂固定是否牢靠，发现虫情及时汇总上报</w:t>
            </w:r>
            <w:r>
              <w:rPr>
                <w:rFonts w:ascii="仿宋_GB2312" w:hAnsi="仿宋_GB2312" w:cs="仿宋_GB2312" w:eastAsia="仿宋_GB2312"/>
                <w:sz w:val="18"/>
                <w:color w:val="000000"/>
              </w:rPr>
              <w:t>；由项目中标单位承担诱捕器悬挂和成虫期（越冬代</w:t>
            </w:r>
            <w:r>
              <w:rPr>
                <w:rFonts w:ascii="仿宋_GB2312" w:hAnsi="仿宋_GB2312" w:cs="仿宋_GB2312" w:eastAsia="仿宋_GB2312"/>
                <w:sz w:val="18"/>
                <w:color w:val="000000"/>
              </w:rPr>
              <w:t>4月6日至 5月底）监测，组建监测队伍，按照诱捕器监测技术规范悬挂诱捕器, 成虫期定期开展疫情监测调查,记录监测情况，发现疫情及时上报疫情数据，建立监测台帐和疫情台账。</w:t>
            </w:r>
          </w:p>
          <w:p>
            <w:pPr>
              <w:pStyle w:val="null3"/>
              <w:ind w:firstLine="360"/>
            </w:pPr>
            <w:r>
              <w:rPr>
                <w:rFonts w:ascii="仿宋_GB2312" w:hAnsi="仿宋_GB2312" w:cs="仿宋_GB2312" w:eastAsia="仿宋_GB2312"/>
                <w:sz w:val="18"/>
                <w:color w:val="000000"/>
              </w:rPr>
              <w:t>2、普查：同时，开展入户宣传、集中培训，建立虫情有奖举报制度，动员广大群众参与虫情普查。</w:t>
            </w:r>
          </w:p>
          <w:p>
            <w:pPr>
              <w:pStyle w:val="null3"/>
              <w:ind w:firstLine="360"/>
            </w:pPr>
            <w:r>
              <w:rPr>
                <w:rFonts w:ascii="仿宋_GB2312" w:hAnsi="仿宋_GB2312" w:cs="仿宋_GB2312" w:eastAsia="仿宋_GB2312"/>
                <w:sz w:val="18"/>
                <w:color w:val="000000"/>
              </w:rPr>
              <w:t>①普查时间：从5月25日～6月30日普查2轮次，具体时间按当年预测预报进行；</w:t>
            </w:r>
          </w:p>
          <w:p>
            <w:pPr>
              <w:pStyle w:val="null3"/>
              <w:ind w:firstLine="360"/>
            </w:pPr>
            <w:r>
              <w:rPr>
                <w:rFonts w:ascii="仿宋_GB2312" w:hAnsi="仿宋_GB2312" w:cs="仿宋_GB2312" w:eastAsia="仿宋_GB2312"/>
                <w:sz w:val="18"/>
                <w:color w:val="000000"/>
              </w:rPr>
              <w:t>②普查范围：由项目中标单位组织实施，采取线路踏查方式，</w:t>
            </w:r>
            <w:r>
              <w:rPr>
                <w:rFonts w:ascii="仿宋_GB2312" w:hAnsi="仿宋_GB2312" w:cs="仿宋_GB2312" w:eastAsia="仿宋_GB2312"/>
                <w:sz w:val="18"/>
                <w:color w:val="000000"/>
              </w:rPr>
              <w:t>按照镇不漏村</w:t>
            </w:r>
            <w:r>
              <w:rPr>
                <w:rFonts w:ascii="仿宋_GB2312" w:hAnsi="仿宋_GB2312" w:cs="仿宋_GB2312" w:eastAsia="仿宋_GB2312"/>
                <w:sz w:val="18"/>
                <w:color w:val="000000"/>
              </w:rPr>
              <w:t>、村不漏户（苗圃）、户不漏树，全方位覆盖，摸清普查底数。采取线路踏查方式开展普查调查，按照普查底数科学设置踏查线路，每个调查单位设置不少于</w:t>
            </w:r>
            <w:r>
              <w:rPr>
                <w:rFonts w:ascii="仿宋_GB2312" w:hAnsi="仿宋_GB2312" w:cs="仿宋_GB2312" w:eastAsia="仿宋_GB2312"/>
                <w:sz w:val="18"/>
                <w:color w:val="000000"/>
              </w:rPr>
              <w:t>2条踏查线路，踏查线路要穿过所有自然村、公园、单位、学校、住宅区、苗圃及行政村往年易发生区域，线路调查所含美国白蛾喜食树种数量占本年度普查底数总量的30%以上，行政村内复叶槭及槭类（如五角枫、鸡爪槭等）、桑树、核桃、柿子、樱花、法桐苗圃与种植园列表全部调查。并建立普查、风险点和疫情台账，建立普查台账，登记喜食树种和所在环境特征，尤其登记清楚养殖场、坟地等特殊情况，如实记录每次普查情况和人员情况。调查线路两侧30米范围内寄主树冠是否有美国白蛾卵块、网幕或危害症状，做到线路上逐村、逐片、逐户、逐树开展普查调查，尤其是居民房前屋后、垃圾堆放点、厕所、水渠边等脏乱差的地方，建立入户台账，保存影像资料，做到线路踏查入</w:t>
            </w:r>
            <w:r>
              <w:rPr>
                <w:rFonts w:ascii="仿宋_GB2312" w:hAnsi="仿宋_GB2312" w:cs="仿宋_GB2312" w:eastAsia="仿宋_GB2312"/>
                <w:sz w:val="18"/>
                <w:color w:val="000000"/>
              </w:rPr>
              <w:t>户</w:t>
            </w:r>
            <w:r>
              <w:rPr>
                <w:rFonts w:ascii="仿宋_GB2312" w:hAnsi="仿宋_GB2312" w:cs="仿宋_GB2312" w:eastAsia="仿宋_GB2312"/>
                <w:sz w:val="18"/>
                <w:color w:val="000000"/>
              </w:rPr>
              <w:t>调查户率</w:t>
            </w:r>
            <w:r>
              <w:rPr>
                <w:rFonts w:ascii="仿宋_GB2312" w:hAnsi="仿宋_GB2312" w:cs="仿宋_GB2312" w:eastAsia="仿宋_GB2312"/>
                <w:sz w:val="18"/>
                <w:color w:val="000000"/>
              </w:rPr>
              <w:t>100%、入户宣传率100%；</w:t>
            </w:r>
          </w:p>
          <w:p>
            <w:pPr>
              <w:pStyle w:val="null3"/>
              <w:ind w:firstLine="360"/>
            </w:pPr>
            <w:r>
              <w:rPr>
                <w:rFonts w:ascii="仿宋_GB2312" w:hAnsi="仿宋_GB2312" w:cs="仿宋_GB2312" w:eastAsia="仿宋_GB2312"/>
                <w:sz w:val="18"/>
                <w:color w:val="000000"/>
              </w:rPr>
              <w:t>③</w:t>
            </w:r>
            <w:r>
              <w:rPr>
                <w:rFonts w:ascii="仿宋_GB2312" w:hAnsi="仿宋_GB2312" w:cs="仿宋_GB2312" w:eastAsia="仿宋_GB2312"/>
                <w:sz w:val="18"/>
                <w:color w:val="000000"/>
              </w:rPr>
              <w:t>检验鉴定：在普查过程中，对发现疑似美国白蛾虫态，第一时间采集标本（以幼虫、成虫为主）</w:t>
            </w:r>
            <w:r>
              <w:rPr>
                <w:rFonts w:ascii="仿宋_GB2312" w:hAnsi="仿宋_GB2312" w:cs="仿宋_GB2312" w:eastAsia="仿宋_GB2312"/>
                <w:sz w:val="18"/>
                <w:color w:val="000000"/>
              </w:rPr>
              <w:t>5份样品（5份以下按实有数量送检），送区林业局鉴定。</w:t>
            </w:r>
          </w:p>
          <w:p>
            <w:pPr>
              <w:pStyle w:val="null3"/>
              <w:ind w:firstLine="360"/>
            </w:pPr>
            <w:r>
              <w:rPr>
                <w:rFonts w:ascii="仿宋_GB2312" w:hAnsi="仿宋_GB2312" w:cs="仿宋_GB2312" w:eastAsia="仿宋_GB2312"/>
                <w:sz w:val="18"/>
                <w:color w:val="000000"/>
              </w:rPr>
              <w:t>3、防治：按照美国白蛾防治</w:t>
            </w:r>
            <w:r>
              <w:rPr>
                <w:rFonts w:ascii="仿宋_GB2312" w:hAnsi="仿宋_GB2312" w:cs="仿宋_GB2312" w:eastAsia="仿宋_GB2312"/>
                <w:sz w:val="18"/>
                <w:color w:val="000000"/>
              </w:rPr>
              <w:t>“五步法”，即“一查二喷三剪四烧五再喷”要求进行预防性防治。组建喷防专业队，人员年龄不大于60周岁（具体以签订的协议为准）。对辖区范围内的重点区域实行预防性喷药不少于2次，全区预计喷药预防面积10000亩次；</w:t>
            </w:r>
            <w:r>
              <w:rPr>
                <w:rFonts w:ascii="仿宋_GB2312" w:hAnsi="仿宋_GB2312" w:cs="仿宋_GB2312" w:eastAsia="仿宋_GB2312"/>
                <w:sz w:val="18"/>
                <w:color w:val="000000"/>
              </w:rPr>
              <w:t>结合鄠邑区主要食叶害虫日常监测、灾情巡查和预测预报结果，研判防治区域和面积，适时对美国白蛾风险点、重点预防区域和杨树食叶害虫达到中度危害或有成灾趋势的危害区域实施预防性喷药防治。选用无公害仿生类农药交替使用，第一次</w:t>
            </w:r>
            <w:r>
              <w:rPr>
                <w:rFonts w:ascii="仿宋_GB2312" w:hAnsi="仿宋_GB2312" w:cs="仿宋_GB2312" w:eastAsia="仿宋_GB2312"/>
                <w:sz w:val="18"/>
                <w:color w:val="000000"/>
              </w:rPr>
              <w:t>25%灭幼脲3号（50克/亩）+1.8</w:t>
            </w:r>
            <w:r>
              <w:rPr>
                <w:rFonts w:ascii="仿宋_GB2312" w:hAnsi="仿宋_GB2312" w:cs="仿宋_GB2312" w:eastAsia="仿宋_GB2312"/>
                <w:sz w:val="18"/>
                <w:color w:val="000000"/>
              </w:rPr>
              <w:t>%</w:t>
            </w:r>
            <w:r>
              <w:rPr>
                <w:rFonts w:ascii="仿宋_GB2312" w:hAnsi="仿宋_GB2312" w:cs="仿宋_GB2312" w:eastAsia="仿宋_GB2312"/>
                <w:sz w:val="18"/>
                <w:color w:val="000000"/>
              </w:rPr>
              <w:t>阿维菌素（</w:t>
            </w:r>
            <w:r>
              <w:rPr>
                <w:rFonts w:ascii="仿宋_GB2312" w:hAnsi="仿宋_GB2312" w:cs="仿宋_GB2312" w:eastAsia="仿宋_GB2312"/>
                <w:sz w:val="18"/>
                <w:color w:val="000000"/>
              </w:rPr>
              <w:t>20克/亩）+有机硅复配剂、第二次5%甲氨基阿维菌素苯甲酸盐（15克/亩）复配25%灭幼脲3号（30克/亩）+有机硅)进行高压远程喷雾防治或无人机喷雾防治，按照《美国白蛾防治技术规范》（DB 61/T1677—2023）和《LY/T 2522-2015杨小舟蛾防治技术规程》开展预防性喷药防治施工作业。</w:t>
            </w:r>
          </w:p>
          <w:p>
            <w:pPr>
              <w:pStyle w:val="null3"/>
              <w:ind w:firstLine="361"/>
            </w:pPr>
            <w:r>
              <w:rPr>
                <w:rFonts w:ascii="仿宋_GB2312" w:hAnsi="仿宋_GB2312" w:cs="仿宋_GB2312" w:eastAsia="仿宋_GB2312"/>
                <w:sz w:val="18"/>
                <w:b/>
                <w:color w:val="000000"/>
              </w:rPr>
              <w:t>三、</w:t>
            </w:r>
            <w:r>
              <w:rPr>
                <w:rFonts w:ascii="仿宋_GB2312" w:hAnsi="仿宋_GB2312" w:cs="仿宋_GB2312" w:eastAsia="仿宋_GB2312"/>
                <w:sz w:val="18"/>
                <w:b/>
                <w:color w:val="000000"/>
              </w:rPr>
              <w:t>服务要求</w:t>
            </w:r>
          </w:p>
          <w:p>
            <w:pPr>
              <w:pStyle w:val="null3"/>
              <w:ind w:firstLine="360"/>
            </w:pPr>
            <w:r>
              <w:rPr>
                <w:rFonts w:ascii="仿宋_GB2312" w:hAnsi="仿宋_GB2312" w:cs="仿宋_GB2312" w:eastAsia="仿宋_GB2312"/>
                <w:sz w:val="18"/>
                <w:color w:val="000000"/>
              </w:rPr>
              <w:t>1、</w:t>
            </w:r>
            <w:r>
              <w:rPr>
                <w:rFonts w:ascii="仿宋_GB2312" w:hAnsi="仿宋_GB2312" w:cs="仿宋_GB2312" w:eastAsia="仿宋_GB2312"/>
                <w:sz w:val="18"/>
                <w:color w:val="000000"/>
              </w:rPr>
              <w:t>施工期限：自合同签订之日起至</w:t>
            </w:r>
            <w:r>
              <w:rPr>
                <w:rFonts w:ascii="仿宋_GB2312" w:hAnsi="仿宋_GB2312" w:cs="仿宋_GB2312" w:eastAsia="仿宋_GB2312"/>
                <w:sz w:val="18"/>
                <w:color w:val="000000"/>
              </w:rPr>
              <w:t>2026年6月30日实施监测普查、喷药防治。</w:t>
            </w:r>
          </w:p>
          <w:p>
            <w:pPr>
              <w:pStyle w:val="null3"/>
              <w:ind w:firstLine="360"/>
            </w:pPr>
            <w:r>
              <w:rPr>
                <w:rFonts w:ascii="仿宋_GB2312" w:hAnsi="仿宋_GB2312" w:cs="仿宋_GB2312" w:eastAsia="仿宋_GB2312"/>
                <w:sz w:val="18"/>
                <w:color w:val="000000"/>
              </w:rPr>
              <w:t>2、</w:t>
            </w:r>
            <w:r>
              <w:rPr>
                <w:rFonts w:ascii="仿宋_GB2312" w:hAnsi="仿宋_GB2312" w:cs="仿宋_GB2312" w:eastAsia="仿宋_GB2312"/>
                <w:sz w:val="18"/>
                <w:color w:val="000000"/>
              </w:rPr>
              <w:t>严格按照《美国白蛾防治技术规程</w:t>
            </w:r>
            <w:r>
              <w:rPr>
                <w:rFonts w:ascii="仿宋_GB2312" w:hAnsi="仿宋_GB2312" w:cs="仿宋_GB2312" w:eastAsia="仿宋_GB2312"/>
                <w:sz w:val="18"/>
                <w:color w:val="000000"/>
              </w:rPr>
              <w:t>LY/T2111 —2013》和《美国白蛾防治技术规范DB 61/T 1677—2023》要求组织施工，施工前按工程要求筹备各项防治器械、材料、工具等，按技术规定进行施工作业。各标段按防控要求采购农药，按规定浓度进行施工喷洒，所使用的施工器械、农药等需符合国家标准。</w:t>
            </w:r>
          </w:p>
          <w:p>
            <w:pPr>
              <w:pStyle w:val="null3"/>
              <w:ind w:firstLine="360"/>
            </w:pPr>
            <w:r>
              <w:rPr>
                <w:rFonts w:ascii="仿宋_GB2312" w:hAnsi="仿宋_GB2312" w:cs="仿宋_GB2312" w:eastAsia="仿宋_GB2312"/>
                <w:sz w:val="18"/>
                <w:color w:val="000000"/>
              </w:rPr>
              <w:t>3、</w:t>
            </w:r>
            <w:r>
              <w:rPr>
                <w:rFonts w:ascii="仿宋_GB2312" w:hAnsi="仿宋_GB2312" w:cs="仿宋_GB2312" w:eastAsia="仿宋_GB2312"/>
                <w:sz w:val="18"/>
                <w:color w:val="000000"/>
              </w:rPr>
              <w:t>人工地面防治施工过程中采用车载高压喷雾机或担架式喷雾机等均匀喷洒，全面喷药不漏地段、不漏户、不漏树、不漏枝，做到树木全冠喷药，无防治死角。</w:t>
            </w:r>
          </w:p>
          <w:p>
            <w:pPr>
              <w:pStyle w:val="null3"/>
              <w:ind w:firstLine="360"/>
            </w:pPr>
            <w:r>
              <w:rPr>
                <w:rFonts w:ascii="仿宋_GB2312" w:hAnsi="仿宋_GB2312" w:cs="仿宋_GB2312" w:eastAsia="仿宋_GB2312"/>
                <w:sz w:val="18"/>
                <w:color w:val="000000"/>
              </w:rPr>
              <w:t>4、</w:t>
            </w:r>
            <w:r>
              <w:rPr>
                <w:rFonts w:ascii="仿宋_GB2312" w:hAnsi="仿宋_GB2312" w:cs="仿宋_GB2312" w:eastAsia="仿宋_GB2312"/>
                <w:sz w:val="18"/>
                <w:color w:val="000000"/>
              </w:rPr>
              <w:t>严格按照合同内容执行，监测普查按照技术规范进行施工作业，防治按</w:t>
            </w:r>
            <w:r>
              <w:rPr>
                <w:rFonts w:ascii="仿宋_GB2312" w:hAnsi="仿宋_GB2312" w:cs="仿宋_GB2312" w:eastAsia="仿宋_GB2312"/>
                <w:sz w:val="18"/>
                <w:color w:val="000000"/>
              </w:rPr>
              <w:t>“五步法”即“一查二剪三喷四烧五再喷”步骤进行作业，做到监测普查覆盖率100%、自然村宣传普及率100%，对施工中延误最佳防治期的，每延期一天扣除施工费500元，延期5天每天加1000元。</w:t>
            </w:r>
          </w:p>
          <w:p>
            <w:pPr>
              <w:pStyle w:val="null3"/>
              <w:ind w:firstLine="360"/>
            </w:pPr>
            <w:r>
              <w:rPr>
                <w:rFonts w:ascii="仿宋_GB2312" w:hAnsi="仿宋_GB2312" w:cs="仿宋_GB2312" w:eastAsia="仿宋_GB2312"/>
                <w:sz w:val="18"/>
                <w:color w:val="000000"/>
              </w:rPr>
              <w:t>5、</w:t>
            </w:r>
            <w:r>
              <w:rPr>
                <w:rFonts w:ascii="仿宋_GB2312" w:hAnsi="仿宋_GB2312" w:cs="仿宋_GB2312" w:eastAsia="仿宋_GB2312"/>
                <w:sz w:val="18"/>
                <w:color w:val="000000"/>
              </w:rPr>
              <w:t>中标后立即向委托方提供项目管理机构以及人员安排的施工方案，其内容包括管理机构和安全责任机构的设置、各主要岗位的技术和管理员名单、资质、联系方式及各工种技术工人的安排、项目实施进度安排、技术措施等状况。</w:t>
            </w:r>
          </w:p>
          <w:p>
            <w:pPr>
              <w:pStyle w:val="null3"/>
              <w:ind w:firstLine="360"/>
            </w:pPr>
            <w:r>
              <w:rPr>
                <w:rFonts w:ascii="仿宋_GB2312" w:hAnsi="仿宋_GB2312" w:cs="仿宋_GB2312" w:eastAsia="仿宋_GB2312"/>
                <w:sz w:val="18"/>
                <w:color w:val="000000"/>
              </w:rPr>
              <w:t>6、</w:t>
            </w:r>
            <w:r>
              <w:rPr>
                <w:rFonts w:ascii="仿宋_GB2312" w:hAnsi="仿宋_GB2312" w:cs="仿宋_GB2312" w:eastAsia="仿宋_GB2312"/>
                <w:sz w:val="18"/>
                <w:color w:val="000000"/>
              </w:rPr>
              <w:t>中标后立即向委托方报备施工中的器械、药物、工具、材料、交通、食宿等情况，组建项目部，对防控工作进行常态化运作。</w:t>
            </w:r>
          </w:p>
          <w:p>
            <w:pPr>
              <w:pStyle w:val="null3"/>
              <w:ind w:firstLine="360"/>
            </w:pPr>
            <w:r>
              <w:rPr>
                <w:rFonts w:ascii="仿宋_GB2312" w:hAnsi="仿宋_GB2312" w:cs="仿宋_GB2312" w:eastAsia="仿宋_GB2312"/>
                <w:sz w:val="18"/>
                <w:color w:val="000000"/>
              </w:rPr>
              <w:t>7、</w:t>
            </w:r>
            <w:r>
              <w:rPr>
                <w:rFonts w:ascii="仿宋_GB2312" w:hAnsi="仿宋_GB2312" w:cs="仿宋_GB2312" w:eastAsia="仿宋_GB2312"/>
                <w:sz w:val="18"/>
                <w:color w:val="000000"/>
              </w:rPr>
              <w:t>验收：甲方根据</w:t>
            </w:r>
            <w:r>
              <w:rPr>
                <w:rFonts w:ascii="仿宋_GB2312" w:hAnsi="仿宋_GB2312" w:cs="仿宋_GB2312" w:eastAsia="仿宋_GB2312"/>
                <w:sz w:val="18"/>
                <w:color w:val="000000"/>
              </w:rPr>
              <w:t>磋商</w:t>
            </w:r>
            <w:r>
              <w:rPr>
                <w:rFonts w:ascii="仿宋_GB2312" w:hAnsi="仿宋_GB2312" w:cs="仿宋_GB2312" w:eastAsia="仿宋_GB2312"/>
                <w:sz w:val="18"/>
                <w:color w:val="000000"/>
              </w:rPr>
              <w:t>文件、</w:t>
            </w:r>
            <w:r>
              <w:rPr>
                <w:rFonts w:ascii="仿宋_GB2312" w:hAnsi="仿宋_GB2312" w:cs="仿宋_GB2312" w:eastAsia="仿宋_GB2312"/>
                <w:sz w:val="18"/>
                <w:color w:val="000000"/>
              </w:rPr>
              <w:t>磋商响应</w:t>
            </w:r>
            <w:r>
              <w:rPr>
                <w:rFonts w:ascii="仿宋_GB2312" w:hAnsi="仿宋_GB2312" w:cs="仿宋_GB2312" w:eastAsia="仿宋_GB2312"/>
                <w:sz w:val="18"/>
                <w:color w:val="000000"/>
              </w:rPr>
              <w:t>文件、合同约定标准验收，甲方组织相关部门、专家进行现场验收，现场随机抽查每个街道办不少于</w:t>
            </w:r>
            <w:r>
              <w:rPr>
                <w:rFonts w:ascii="仿宋_GB2312" w:hAnsi="仿宋_GB2312" w:cs="仿宋_GB2312" w:eastAsia="仿宋_GB2312"/>
                <w:sz w:val="18"/>
                <w:color w:val="000000"/>
              </w:rPr>
              <w:t>5个行政村。</w:t>
            </w:r>
          </w:p>
          <w:p>
            <w:pPr>
              <w:pStyle w:val="null3"/>
              <w:ind w:firstLine="360"/>
            </w:pPr>
            <w:r>
              <w:rPr>
                <w:rFonts w:ascii="仿宋_GB2312" w:hAnsi="仿宋_GB2312" w:cs="仿宋_GB2312" w:eastAsia="仿宋_GB2312"/>
                <w:sz w:val="18"/>
                <w:color w:val="000000"/>
              </w:rPr>
              <w:t>8、</w:t>
            </w:r>
            <w:r>
              <w:rPr>
                <w:rFonts w:ascii="仿宋_GB2312" w:hAnsi="仿宋_GB2312" w:cs="仿宋_GB2312" w:eastAsia="仿宋_GB2312"/>
                <w:sz w:val="18"/>
                <w:color w:val="000000"/>
              </w:rPr>
              <w:t>合同所订一切条款，甲、乙任何一方不得擅自变更或修改。如一方单独变更、修改合同，对方有权拒绝，并要求变更、修改合同一方赔偿一切损失。</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自合同签订之日起至2026年6月30日实施监测普查、喷药防治。</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按照磋商文件及采购合同约定执行。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2026年7月5日，乙方完成美国白蛾防控任务后，申请验收，甲方组织相关专家进行现场验收，验收合格后，支付合同价款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按照磋商文件和采购合同约定执行。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其他补充事宜：1、本项目所属行业为：农、林、牧、渔业。2、成交供应商在领取成交通知书前，须向采购代理机构提供一正两副纸质响应文件及电子版1份（签字盖章扫描PDF和word文档格式，U盘存储），且提供的响应文件必须与在陕西省政府采购综合管理平台的项目电子化交易系统中递交的电子响应文件内容一致，纸质版响应文件必须装订成册签字盖章。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供应商须具有林业有害生物防治资质（防治作业）丙级及以上资质；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或2025年度财务审计报告（成立时间至开标时间不足一年的可提供成立后任意时段的资产负债表、现金流量表、利润表）或开标前六个月内其基本账户银行出具的资信证明（附开户许可证或基本账户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提供截止至开标时间前六个月内任意一个月的缴费凭据（依法免税的投标人应提供相关文件证明）；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提供截止至开标时间前六个月内任意一个月的社保缴费凭据或社保机构开具的社会保险参保缴费情况证明（依法不需要缴纳社会保障资金的投标人应提供相关证明）；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非联合体投标承诺书</w:t>
            </w:r>
          </w:p>
        </w:tc>
        <w:tc>
          <w:tcPr>
            <w:tcW w:type="dxa" w:w="3322"/>
          </w:tcPr>
          <w:p>
            <w:pPr>
              <w:pStyle w:val="null3"/>
            </w:pPr>
            <w:r>
              <w:rPr>
                <w:rFonts w:ascii="仿宋_GB2312" w:hAnsi="仿宋_GB2312" w:cs="仿宋_GB2312" w:eastAsia="仿宋_GB2312"/>
              </w:rPr>
              <w:t>本项目不接受联合体投标（供应商需提供非联合体投标承诺书）；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单位负责人为同一人或者存在直接控股、管理关系的不同投标人，不得参加同一合同项下的政府采购活动（供应商需提供企业关系关联承诺书）；</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供应商应提交的相关资格证明材料.docx 法定代表人身份证明或法定代表人授权委托书.docx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1、报价唯一； 2、报价货币符合磋商文件要求 ; 3、未超出采购预算或磋商文件规定的最高限价。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商务应答表.docx 服务条款响应偏离表.docx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一、针对本项目提供的需求制定合理的方案，包括但不限于以下内容①项目认知分析；②防治目标及防治区域现状分析；③监测普查方案；④防治成效方案。并按照以下标准评审：二、评审标准 1、完整性：方案必须全面，对评审内容中的各项要求有详细描述；2、可实施性：切合本项目实际情况，提出步骤清晰、合理的方案；3、针对性：方案能够紧扣项目实际情况，内容科学合理。三、赋分标准（满分24分）①项目认知分析：每满足一个评审标准得2分，不满足得0分，满分6分； ②防治目标及防治区域现状分析：每满足一个评审标准得2分，不满足得0分，满分6分；③监测普查方案：每满足一个评审标准得2分，不满足得0分，满分6分；④防治成效方案：每满足一个评审标准得2分，不满足得0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一、针对本项目提供的需求制定合理的方案，包括但不限于以下内容①质量保障措施；②进度保障措施；③安全保障措施。二、评审标准 1、完整性：方案必须全面，对评审内容中的各项要求有详细描述；2、可实施性：切合本项目实际情况，提出清晰、合理的方案；3、针对性：方案能够紧扣项目实际情况，内容科学合理。三、赋分标准（满分18分）①质量保障措施：每满足一个评审标准得2分，不满足得0分，满分6分；②进度保障措施：每满足一个评审标准得2分，不满足得0分，满分6分；③安全保障措施：每满足一个评审标准得2分，不满足得0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一、针对本项目提供的需求制定合理的方案，包括但不限于以下内容①对本项目的重点、难点进行分析；②对本项目重点、难点的应对措施。二、评审标准 1、完整性：方案必须全面，对评审内容中的各项要求有详细描述；2、合理性：切合本项目实际情况，条理清楚；3、针对性：方案能够紧扣项目实际情况，内容科学合理。三、赋分标准（满分12分）①对本项目的重点、难点进行分析：每满足一个评审标准得2分，不满足得0分，满分6分；②对本项目重点、难点的应对措施：每满足一个评审标准得2分，不满足得0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一、应急处置方案包括但不限于以下内容①应急组织机构②应急响应流程③作业过程中突发状况的应急处理方案④应急保障措施。二、评审标准 1、完整性：方案必须全面，对评审内容中的各项要求有详细描述；2、可实施性：切合本项目实际情况，提出清晰、合理的方案；3、针对性：方案能够紧扣项目实际情况，内容科学合理。三、赋分标准（满分12分）①应急组织机构：每满足一个评审标准得1分，不满足得0分，满分3分； ②应急响应流程：每满足一个评审标准得1分，不满足得0分，满分3分；③作业过程中突发状况的应急处理方案：每满足一个评审标准得1分，不满足得0分，满分3分；④应急保障措施：每满足一个评审标准得1分，不满足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项目拟投入专业人员，12人及以上得5分，8（含）-12人得3分，5（含）-8人得1分，5人以下或未提供不得分。2、项目拟投入人员包含2名相关领域专业技术人员，均具有高级职称得5分，中级（或1高级+1中级）职称得3分，未提供不得分（需提供职称证书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供应商具有2023年1月1日至今（以合同签订时间为准）同类项目业绩，响应文件中提供合同复印件加盖公章，每提供一个得3分，最高得9分。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满足磋商文件要求且最后报价最低的报价为评标基准价，其价格分为满分。报价得分=（评标基准价／最后报价）×价格权值×100。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详见附件：服务条款响应偏离表.docx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详见附件：业绩有关证明材料.docx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