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版本号：ZCBN-鄠邑区-2026-00044.1B120260331001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西安市鄠邑区涝惠渠灌区续建配套与现代化改造项目科研勘测设计服务(二次)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ZCBN-鄠邑区-2026-00044.1B1</w:t>
      </w:r>
      <w:r>
        <w:br/>
      </w:r>
      <w:r>
        <w:br/>
      </w:r>
      <w:r>
        <w:br/>
      </w:r>
    </w:p>
    <w:p>
      <w:pPr>
        <w:pStyle w:val="null3"/>
        <w:jc w:val="center"/>
        <w:outlineLvl w:val="2"/>
      </w:pPr>
      <w:r>
        <w:rPr>
          <w:rFonts w:ascii="仿宋_GB2312" w:hAnsi="仿宋_GB2312" w:cs="仿宋_GB2312" w:eastAsia="仿宋_GB2312"/>
          <w:sz w:val="28"/>
          <w:b/>
        </w:rPr>
        <w:t>西安市鄠邑区涝惠渠管理站</w:t>
      </w:r>
    </w:p>
    <w:p>
      <w:pPr>
        <w:pStyle w:val="null3"/>
        <w:jc w:val="center"/>
        <w:outlineLvl w:val="2"/>
      </w:pPr>
      <w:r>
        <w:rPr>
          <w:rFonts w:ascii="仿宋_GB2312" w:hAnsi="仿宋_GB2312" w:cs="仿宋_GB2312" w:eastAsia="仿宋_GB2312"/>
          <w:sz w:val="28"/>
          <w:b/>
        </w:rPr>
        <w:t>知含国际工程咨询有限公司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知含国际工程咨询有限公司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西安市鄠邑区涝惠渠管理站</w:t>
      </w:r>
      <w:r>
        <w:rPr>
          <w:rFonts w:ascii="仿宋_GB2312" w:hAnsi="仿宋_GB2312" w:cs="仿宋_GB2312" w:eastAsia="仿宋_GB2312"/>
        </w:rPr>
        <w:t>委托，拟对</w:t>
      </w:r>
      <w:r>
        <w:rPr>
          <w:rFonts w:ascii="仿宋_GB2312" w:hAnsi="仿宋_GB2312" w:cs="仿宋_GB2312" w:eastAsia="仿宋_GB2312"/>
        </w:rPr>
        <w:t>西安市鄠邑区涝惠渠灌区续建配套与现代化改造项目科研勘测设计服务(二次)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ZCBN-鄠邑区-2026-00044.1B1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西安市鄠邑区涝惠渠灌区续建配套与现代化改造项目科研勘测设计服务(二次)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鄠邑区涝惠渠灌区续建配套与现代化改造项目科研勘测设计服务。工程设计改善灌溉面积1.73万亩，恢复灌溉面积0.58万亩，渠首工程1处，渠道改造12.18公里，渠系建筑物改造37座，量水测17处，信息化1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3、缴纳税收：提供投标截止日前一年内已缴纳的至少一个月的纳税证明或完税证明，依法免税的单位应提供相关证明材料。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4、社会保障资金缴纳证明：提供投标截止日前一年内已缴存的至少一个月的社会保障资金缴存单据或社保机构开具的社会保险参保缴费情况证明，依法不需要缴纳社会保障资金的单位应提供相关证明材料。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5、书面声明：参加本次采购前3年内，在经营活动中没有重大违法记录的书面声明。</w:t>
      </w:r>
    </w:p>
    <w:p>
      <w:pPr>
        <w:pStyle w:val="null3"/>
      </w:pPr>
      <w:r>
        <w:rPr>
          <w:rFonts w:ascii="仿宋_GB2312" w:hAnsi="仿宋_GB2312" w:cs="仿宋_GB2312" w:eastAsia="仿宋_GB2312"/>
        </w:rPr>
        <w:t>6、信誉情况：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投标人应授权合法的人员参加本项目开标活动全过程：法定代表人直接参加的须提供法定代表人身份证并与营业执照上信息一致；法定代表人授权代表参加的须提供法定代表人授权书及被授权人在本单位证明（养老保险缴纳证明或劳动合同）。</w:t>
      </w:r>
    </w:p>
    <w:p>
      <w:pPr>
        <w:pStyle w:val="null3"/>
      </w:pPr>
      <w:r>
        <w:rPr>
          <w:rFonts w:ascii="仿宋_GB2312" w:hAnsi="仿宋_GB2312" w:cs="仿宋_GB2312" w:eastAsia="仿宋_GB2312"/>
        </w:rPr>
        <w:t>8、企业资质：供应商须同时具备以下资质：1.具备【工程设计综合资质甲级】或【水利行业工程设计乙级及以上】或【水利行业（灌溉排涝）专业乙级及以上】资质，2.具备工程勘察综合甲级资质或工程勘察专业(岩土工程、工程测量)乙级及以上资质，并在人员、设备、资金等方面具备相应的能力。</w:t>
      </w:r>
    </w:p>
    <w:p>
      <w:pPr>
        <w:pStyle w:val="null3"/>
      </w:pPr>
      <w:r>
        <w:rPr>
          <w:rFonts w:ascii="仿宋_GB2312" w:hAnsi="仿宋_GB2312" w:cs="仿宋_GB2312" w:eastAsia="仿宋_GB2312"/>
        </w:rPr>
        <w:t>9、拟派项目负责人：拟派项目负责人须具备水利相关专业中级及以上职称。</w:t>
      </w:r>
    </w:p>
    <w:p>
      <w:pPr>
        <w:pStyle w:val="null3"/>
      </w:pPr>
      <w:r>
        <w:rPr>
          <w:rFonts w:ascii="仿宋_GB2312" w:hAnsi="仿宋_GB2312" w:cs="仿宋_GB2312" w:eastAsia="仿宋_GB2312"/>
        </w:rPr>
        <w:t>10、供应商履行合同所必需的设备和专业技术能力：供应商须具有履行合同所必需的设备和专业技术能力，须附相关证明材料或书面声明。</w:t>
      </w:r>
    </w:p>
    <w:p>
      <w:pPr>
        <w:pStyle w:val="null3"/>
      </w:pPr>
      <w:r>
        <w:rPr>
          <w:rFonts w:ascii="仿宋_GB2312" w:hAnsi="仿宋_GB2312" w:cs="仿宋_GB2312" w:eastAsia="仿宋_GB2312"/>
        </w:rPr>
        <w:t>11、单位负责人为同一人或者存在控股、管理关系的不同单位不得同时参加：单位负责人为同一人或者存在控股、管理关系的不同单位不得同时参加。</w:t>
      </w:r>
    </w:p>
    <w:p>
      <w:pPr>
        <w:pStyle w:val="null3"/>
      </w:pPr>
      <w:r>
        <w:rPr>
          <w:rFonts w:ascii="仿宋_GB2312" w:hAnsi="仿宋_GB2312" w:cs="仿宋_GB2312" w:eastAsia="仿宋_GB2312"/>
        </w:rPr>
        <w:t>12、本项目接受联合体投标：本项目接受联合体投标，若联合体投标，联合体各方均应同时满足上述（1）-（6）、（10）-（11）项规定的资格条件。（联合体成员不超过2家，联合体牵头单位必须是设计供应商，以联合体形式参加投标的，须提供由联合体成员共同签署盖章的联合体协议书。联合体各方不得再单独参加或者与其他供应商另外组成联合体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西安市鄠邑区涝惠渠管理站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陕西省西安市鄠邑区石井街办土门村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李家齐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029-84971259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知含国际工程咨询有限公司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陕西省咸阳市秦都区西里路以西亨浩集团6楼西侧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029-33687895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采购包1：1,116,500.00元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招标代理服务收费管理暂行办法的通知》（计价格【2002】1980号）和《国家发展改革委关于降低部分建设项目收费标准规范收费行为等有关问题的通知》（发改办价格【2011】534号）文件规定，按标准收取。2、在领取成交通知书前，由成交单位向采购代理机构缴纳招标代理服务费，一次性付清。3、代理服务费缴纳账户信息：账户名称：知含国际工程咨询有限公司 开户行名称：中国建设银行股份有限公司咸阳世纪大道支行 开户账号：61001635008052503621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西安市鄠邑区涝惠渠管理站</w:t>
      </w:r>
      <w:r>
        <w:rPr>
          <w:rFonts w:ascii="仿宋_GB2312" w:hAnsi="仿宋_GB2312" w:cs="仿宋_GB2312" w:eastAsia="仿宋_GB2312"/>
        </w:rPr>
        <w:t>和</w:t>
      </w:r>
      <w:r>
        <w:rPr>
          <w:rFonts w:ascii="仿宋_GB2312" w:hAnsi="仿宋_GB2312" w:cs="仿宋_GB2312" w:eastAsia="仿宋_GB2312"/>
        </w:rPr>
        <w:t>知含国际工程咨询有限公司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西安市鄠邑区涝惠渠管理站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知含国际工程咨询有限公司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西安市鄠邑区涝惠渠管理站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知含国际工程咨询有限公司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符合国家及地方现行验收规范“合格”标准。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联系人：董洁</w:t>
      </w:r>
    </w:p>
    <w:p>
      <w:pPr>
        <w:pStyle w:val="null3"/>
      </w:pPr>
      <w:r>
        <w:rPr>
          <w:rFonts w:ascii="仿宋_GB2312" w:hAnsi="仿宋_GB2312" w:cs="仿宋_GB2312" w:eastAsia="仿宋_GB2312"/>
        </w:rPr>
        <w:t>联系电话：029-33687895</w:t>
      </w:r>
    </w:p>
    <w:p>
      <w:pPr>
        <w:pStyle w:val="null3"/>
      </w:pPr>
      <w:r>
        <w:rPr>
          <w:rFonts w:ascii="仿宋_GB2312" w:hAnsi="仿宋_GB2312" w:cs="仿宋_GB2312" w:eastAsia="仿宋_GB2312"/>
        </w:rPr>
        <w:t>地址：陕西省咸阳市秦都区西里路以西亨浩集团6楼西侧</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鄠邑区涝惠渠灌区续建配套与现代化改造项目科研勘测设计服务。工程设计改善灌溉面积1.73万亩，恢复灌溉面积0.58万亩，渠首工程1处，渠道改造12.18公里，渠系建筑物改造37座，量水测17处，信息化1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1,116,500.00</w:t>
      </w:r>
    </w:p>
    <w:p>
      <w:pPr>
        <w:pStyle w:val="null3"/>
      </w:pPr>
      <w:r>
        <w:rPr>
          <w:rFonts w:ascii="仿宋_GB2312" w:hAnsi="仿宋_GB2312" w:cs="仿宋_GB2312" w:eastAsia="仿宋_GB2312"/>
        </w:rPr>
        <w:t>采购包最高限价（元）: 1,116,500.00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西安市鄠邑区涝惠渠灌区续建配套与现代化改造项目科研勘测设计服务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1,116,500.00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标的名称：西安市鄠邑区涝惠渠灌区续建配套与现代化改造项目科研勘测设计服务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一、项目概况：</w:t>
            </w:r>
          </w:p>
          <w:p>
            <w:pPr>
              <w:pStyle w:val="null3"/>
            </w:pPr>
            <w:r>
              <w:rPr>
                <w:rFonts w:ascii="仿宋_GB2312" w:hAnsi="仿宋_GB2312" w:cs="仿宋_GB2312" w:eastAsia="仿宋_GB2312"/>
                <w:sz w:val="18"/>
              </w:rPr>
              <w:t>本项目为西安市鄠邑区涝惠渠灌区续建配套与现代化改造项目科研勘测设计服务。工程设计改善灌溉面积1.73万亩，恢复灌溉面积0.58万亩，渠首工程1处，渠道改造12.18公里，渠系建筑物改造37座，量水测17处，信息化1套。</w:t>
            </w:r>
          </w:p>
          <w:p>
            <w:pPr>
              <w:pStyle w:val="null3"/>
            </w:pPr>
            <w:r>
              <w:rPr>
                <w:rFonts w:ascii="仿宋_GB2312" w:hAnsi="仿宋_GB2312" w:cs="仿宋_GB2312" w:eastAsia="仿宋_GB2312"/>
                <w:sz w:val="18"/>
              </w:rPr>
              <w:t>二、基本原则要求：</w:t>
            </w:r>
            <w:r>
              <w:br/>
            </w:r>
            <w:r>
              <w:rPr>
                <w:rFonts w:ascii="仿宋_GB2312" w:hAnsi="仿宋_GB2312" w:cs="仿宋_GB2312" w:eastAsia="仿宋_GB2312"/>
                <w:sz w:val="18"/>
              </w:rPr>
              <w:t xml:space="preserve">  1、按照国家现行行业规范要求进行设计；</w:t>
            </w:r>
            <w:r>
              <w:br/>
            </w:r>
            <w:r>
              <w:rPr>
                <w:rFonts w:ascii="仿宋_GB2312" w:hAnsi="仿宋_GB2312" w:cs="仿宋_GB2312" w:eastAsia="仿宋_GB2312"/>
                <w:sz w:val="18"/>
              </w:rPr>
              <w:t xml:space="preserve">  2、充分考虑运行中可能出现的各种情况，选择经济、合理的方案；</w:t>
            </w:r>
            <w:r>
              <w:br/>
            </w:r>
            <w:r>
              <w:rPr>
                <w:rFonts w:ascii="仿宋_GB2312" w:hAnsi="仿宋_GB2312" w:cs="仿宋_GB2312" w:eastAsia="仿宋_GB2312"/>
                <w:sz w:val="18"/>
              </w:rPr>
              <w:t xml:space="preserve">  3、成果质量：完整合规，通过相关部门审批，满足项目施工及验收要求。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符合国家及地方现行验收规范“合格”标准。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合同签订后7日内支付合同总价款的40%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乙方提交全套成果文件，经甲方最终验收合格后，支付至合同额的90.00%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竣工验收完成后,甲方向乙方一次性付清所有费用支付至合同额的100.00%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2.供应商未按合同要求提供货物与服务或货物与服务质量未达到合同约定的，采购人有权终止合同。因中标人原因对采购人造成经济损失的，采购人有权进行追责。</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人及采购代理机构分别提交纸质版及电子版(电子版包含word版响应文件，签章后的pdf响应文件)响应文件一套。2.供应商应自响应文件递交截止时间起至磋商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提供投标截止日前一年内已缴纳的至少一个月的纳税证明或完税证明，依法免税的单位应提供相关证明材料。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投标人应授权合法的人员参加本项目开标活动全过程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法定代表人直接参加的须提供法定代表人身份证并与营业执照上信息一致；法定代表人授权代表参加的须提供法定代表人授权书及被授权人在本单位证明（养老保险缴纳证明或劳动合同）。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同时具备以下资质：1.具备【工程设计综合资质甲级】或【水利行业工程设计乙级及以上】或【水利行业（灌溉排涝）专业乙级及以上】资质，2.具备工程勘察综合甲级资质或工程勘察专业(岩土工程、工程测量)乙级及以上资质，并在人员、设备、资金等方面具备相应的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拟派项目负责人须具备水利相关专业中级及以上职称。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供应商履行合同所必需的设备和专业技术能力</w:t>
            </w:r>
          </w:p>
        </w:tc>
        <w:tc>
          <w:tcPr>
            <w:tcW w:type="dxa" w:w="3322"/>
          </w:tcPr>
          <w:p>
            <w:pPr>
              <w:pStyle w:val="null3"/>
            </w:pPr>
            <w:r>
              <w:rPr>
                <w:rFonts w:ascii="仿宋_GB2312" w:hAnsi="仿宋_GB2312" w:cs="仿宋_GB2312" w:eastAsia="仿宋_GB2312"/>
              </w:rPr>
              <w:t>供应商须具有履行合同所必需的设备和专业技术能力，须附相关证明材料或书面声明。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单位负责人为同一人或者存在控股、管理关系的不同单位不得同时参加</w:t>
            </w:r>
          </w:p>
        </w:tc>
        <w:tc>
          <w:tcPr>
            <w:tcW w:type="dxa" w:w="3322"/>
          </w:tcPr>
          <w:p>
            <w:pPr>
              <w:pStyle w:val="null3"/>
            </w:pPr>
            <w:r>
              <w:rPr>
                <w:rFonts w:ascii="仿宋_GB2312" w:hAnsi="仿宋_GB2312" w:cs="仿宋_GB2312" w:eastAsia="仿宋_GB2312"/>
              </w:rPr>
              <w:t>单位负责人为同一人或者存在控股、管理关系的不同单位不得同时参加。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本项目接受联合体投标</w:t>
            </w:r>
          </w:p>
        </w:tc>
        <w:tc>
          <w:tcPr>
            <w:tcW w:type="dxa" w:w="3322"/>
          </w:tcPr>
          <w:p>
            <w:pPr>
              <w:pStyle w:val="null3"/>
            </w:pPr>
            <w:r>
              <w:rPr>
                <w:rFonts w:ascii="仿宋_GB2312" w:hAnsi="仿宋_GB2312" w:cs="仿宋_GB2312" w:eastAsia="仿宋_GB2312"/>
              </w:rPr>
              <w:t>本项目接受联合体投标，若联合体投标，联合体各方均应同时满足上述（1）-（6）、（10）-（11）项规定的资格条件。（联合体成员不超过2家，联合体牵头单位必须是设计供应商，以联合体形式参加投标的，须提供由联合体成员共同签署盖章的联合体协议书。联合体各方不得再单独参加或者与其他供应商另外组成联合体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中小企业声明函 供应商认为需要提供的其他材料.docx 商务应答表 报价表 供应商业绩证明材料.docx 响应文件封面 分项报价表.docx 供应商应提交的相关资格证明材料.docx 主要人员简历表.docx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地勘方案</w:t>
            </w:r>
          </w:p>
        </w:tc>
        <w:tc>
          <w:tcPr>
            <w:tcW w:type="dxa" w:w="2492"/>
          </w:tcPr>
          <w:p>
            <w:pPr>
              <w:pStyle w:val="null3"/>
            </w:pPr>
            <w:r>
              <w:rPr>
                <w:rFonts w:ascii="仿宋_GB2312" w:hAnsi="仿宋_GB2312" w:cs="仿宋_GB2312" w:eastAsia="仿宋_GB2312"/>
              </w:rPr>
              <w:t>一、评审内容：针对本项目提出适用于本项目的地勘方案，方案包括但不限于：①地勘技术路线与方法；②地勘进度计划及质量保障措施；③地勘成果交付。 二、评审标准：1、完整性：方案必须全面，对评审内容中的各项要求有详细描述；2、可实施性：切合本项目实际情况，提出步骤清晰、合理的方案； 3、针对性：方案能够紧扣本项目实际情况，内容科学合理。 三、赋分标准：（满分18分） ①地勘技术路线与方法：每完全满足一个评审标准得2分，满分6分；②地勘进度计划及质量保障措施：每完全满足一个评审标准得2分，满分6分；③地勘成果交付：每完全满足一个评审标准得2分，满分6分。每有一项评审内容存在缺陷的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测绘方案</w:t>
            </w:r>
          </w:p>
        </w:tc>
        <w:tc>
          <w:tcPr>
            <w:tcW w:type="dxa" w:w="2492"/>
          </w:tcPr>
          <w:p>
            <w:pPr>
              <w:pStyle w:val="null3"/>
            </w:pPr>
            <w:r>
              <w:rPr>
                <w:rFonts w:ascii="仿宋_GB2312" w:hAnsi="仿宋_GB2312" w:cs="仿宋_GB2312" w:eastAsia="仿宋_GB2312"/>
              </w:rPr>
              <w:t>一、评审内容：针对本项目提出适用于本项目的测绘方案，方案包括但不限于：①测绘技术路线与方法；②测绘进度计划及质量保障措施；③测绘成果交付。 二、评审标准：1、完整性：方案必须全面，对评审内容中的各项要求有详细描述；2、可实施性：切合本项目实际情况，提出步骤清晰、合理的方案； 3、针对性：方案能够紧扣本项目实际情况，内容科学合理。 三、赋分标准：（满分18分） ①测绘技术路线与方法：每完全满足一个评审标准得2分，满分6分；②测绘进度计划及质量保障措施：每完全满足一个评审标准得2分，满分6分；③测绘成果交付：每完全满足一个评审标准得2分，满分6分。每有一项评审内容存在缺陷的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一、评审内容：针对本项目提出适用于本项目的设计方案，方案包括但不限于：①设计依据；②设计工作目标及内容；③设计进度保证措施；④设计成本控制措施；⑤设计变更预案。 二、评审标准：1、完整性：方案必须全面，对评审内容中的各项要求有详细描述；2、可实施性：切合本项目实际情况，提出步骤清晰、合理的方案； 3、针对性：方案能够紧扣本项目实际情况，内容科学合理。 三、赋分标准：（满分30分） ①设计依据：每完全满足一个评审标准得2分，满分6分；②设计工作目标及内容：每完全满足一个评审标准得2分，满分6分；③设计进度保证措施：每完全满足一个评审标准得2分，满分6分；④设计成本控制措施：每完全满足一个评审标准得2分，满分6分；⑤设计变更预案：每完全满足一个评审标准得2分，满分6分。每有一项评审内容存在缺陷的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一、评审内容：针对本项目作出适用于本项目的重难点分析，内容包括但不限于：①重点难点分析；②应对措施。 二、评审标准：1、可实施性：内容全面，对评审内容中的各项要求有详细描述，切合本项目实际情况； 2、针对性：方案能够紧扣本项目实际情况，内容科学合理。 三、赋分标准：（满分8分） ①重点难点分析：每完全满足一个评审标准得2分，满分4分；②应对措施：每完全满足一个评审标准得2分，满分4分；每有一项评审内容存在缺陷的扣（0-2）分，扣完为止。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一、评审内容：针对本项目对服务期限、进度、人员到位情况、工作底稿准确规范性、成果文件一致性及本项目后续配合服务作出实质性承诺（应包含不能完全履行承诺时愿意接受相关处罚的承诺）。 二、评审标准：1、完整性：内容必须全面，对评审内容中的各项要求有详细描述且切合本项目实际情况；2、针对性：内容能够紧扣本项目实际情况，内容科学合理。 三、赋分标准：（满分6分） 每完全满足一个评审标准得3分，满分6分；存在缺陷的扣（0-3）分，扣完为止。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供应商提供2023年1月1日至今（以签订的合同日期为准）类似项目业绩合同证明材料（合同复印件加盖公章），每提供一个业绩合同证明材料得2.5分，最高10分。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基准价，其价格分为满分。其他投标人的价格分统一按照下列公式计算：价格分=(基准价／投标报价)×10。满足落实政府采购相关政策的,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详见附件：供应商业绩证明材料.docx</w:t>
      </w:r>
    </w:p>
    <w:p>
      <w:pPr>
        <w:pStyle w:val="null3"/>
        <w:ind w:firstLine="960"/>
      </w:pPr>
      <w:r>
        <w:rPr>
          <w:rFonts w:ascii="仿宋_GB2312" w:hAnsi="仿宋_GB2312" w:cs="仿宋_GB2312" w:eastAsia="仿宋_GB2312"/>
        </w:rPr>
        <w:t>详见附件：供应商认为需要提供的其他材料.docx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