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版本号：XACH2026-02620260414001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2026年中央财政西安市鄠邑区冬小麦促弱转壮项目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XACH2026-026</w:t>
      </w:r>
      <w:r>
        <w:br/>
      </w:r>
      <w:r>
        <w:br/>
      </w:r>
      <w:r>
        <w:br/>
      </w:r>
    </w:p>
    <w:p>
      <w:pPr>
        <w:pStyle w:val="null3"/>
        <w:jc w:val="center"/>
        <w:outlineLvl w:val="2"/>
      </w:pPr>
      <w:r>
        <w:rPr>
          <w:rFonts w:ascii="仿宋_GB2312" w:hAnsi="仿宋_GB2312" w:cs="仿宋_GB2312" w:eastAsia="仿宋_GB2312"/>
          <w:sz w:val="28"/>
          <w:b/>
        </w:rPr>
        <w:t>西安市鄠邑区农业技术推广中心</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西安市鄠邑区农业技术推广中心</w:t>
      </w:r>
      <w:r>
        <w:rPr>
          <w:rFonts w:ascii="仿宋_GB2312" w:hAnsi="仿宋_GB2312" w:cs="仿宋_GB2312" w:eastAsia="仿宋_GB2312"/>
        </w:rPr>
        <w:t>委托，拟对</w:t>
      </w:r>
      <w:r>
        <w:rPr>
          <w:rFonts w:ascii="仿宋_GB2312" w:hAnsi="仿宋_GB2312" w:cs="仿宋_GB2312" w:eastAsia="仿宋_GB2312"/>
        </w:rPr>
        <w:t>2026年中央财政西安市鄠邑区冬小麦促弱转壮项目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2026年中央财政西安市鄠邑区冬小麦促弱转壮项目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2026年中央财政西安市鄠邑区冬小麦促弱转壮项目，具体内容详见竞争性谈判文件。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采购包1（2026年中央财政西安市鄠邑区冬小麦促弱转壮项目）：属于专门面向中小企业采购。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谈判全过程：法定代表人授权委托书（附法定代表人身份证复印件）及被授权委托人身份证（法定代表人参加谈判只需提供法定代表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2024年度或2025年度的财务审计报告或谈判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资质证书：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三证”。</w:t>
      </w:r>
    </w:p>
    <w:p>
      <w:pPr>
        <w:pStyle w:val="null3"/>
      </w:pPr>
      <w:r>
        <w:rPr>
          <w:rFonts w:ascii="仿宋_GB2312" w:hAnsi="仿宋_GB2312" w:cs="仿宋_GB2312" w:eastAsia="仿宋_GB2312"/>
        </w:rPr>
        <w:t>8、供应商为中小企业或为残疾人福利性单位或为监狱企业：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9、非联合体谈判：非联合体谈判声明；供应商需在项目电子化交易系统中按要求上传相应证明文件并进行电子签章。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西安市鄠邑区甘亭街道七一村72号（吉祥巷）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029-84882366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不足5000元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西安市鄠邑区农业技术推广中心</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西安市鄠邑区农业技术推广中心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西安市鄠邑区农业技术推广中心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西安辰和工程咨询有限公司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按谈判文件、响应文件及合同约定中执行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联系电话：029-87563729、029-82285837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8"/>
        </w:rPr>
        <w:t>为奠定小麦丰产基础，本项目主要对小麦促弱转壮增强抗逆性、促粒重、防病虫进行物资采购以及飞防服务。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2026年中央财政西安市鄠邑区冬小麦促弱转壮项目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2026年中央财政西安市鄠邑区冬小麦促弱转壮项目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2026年中央财政西安市鄠邑区冬小麦促弱转壮项目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标的名称：2026年中央财政西安市鄠邑区冬小麦促弱转壮项目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项目</w:t>
            </w:r>
            <w:r>
              <w:rPr>
                <w:rFonts w:ascii="仿宋_GB2312" w:hAnsi="仿宋_GB2312" w:cs="仿宋_GB2312" w:eastAsia="仿宋_GB2312"/>
                <w:sz w:val="28"/>
                <w:b/>
                <w:color w:val="000000"/>
              </w:rPr>
              <w:t>概况</w:t>
            </w:r>
          </w:p>
          <w:p>
            <w:pPr>
              <w:pStyle w:val="null3"/>
            </w:pPr>
            <w:r>
              <w:rPr>
                <w:rFonts w:ascii="仿宋_GB2312" w:hAnsi="仿宋_GB2312" w:cs="仿宋_GB2312" w:eastAsia="仿宋_GB2312"/>
                <w:sz w:val="28"/>
                <w:color w:val="000000"/>
              </w:rPr>
              <w:t>为奠定小麦丰产基础，本项目主要对小麦促弱转壮增强抗逆性、促粒重、防病虫进行物资采购以及飞防服务。</w:t>
            </w:r>
          </w:p>
          <w:p>
            <w:pPr>
              <w:pStyle w:val="null3"/>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内容</w:t>
            </w:r>
          </w:p>
          <w:p>
            <w:pPr>
              <w:pStyle w:val="null3"/>
            </w:pPr>
            <w:r>
              <w:rPr>
                <w:rFonts w:ascii="仿宋_GB2312" w:hAnsi="仿宋_GB2312" w:cs="仿宋_GB2312" w:eastAsia="仿宋_GB2312"/>
                <w:sz w:val="28"/>
                <w:b/>
                <w:color w:val="000000"/>
              </w:rPr>
              <w:t>1、肥料及农药采购内容</w:t>
            </w:r>
          </w:p>
          <w:tbl>
            <w:tblPr>
              <w:tblInd w:type="dxa" w:w="120"/>
              <w:tblBorders>
                <w:top w:val="none" w:color="000000" w:sz="4"/>
                <w:left w:val="none" w:color="000000" w:sz="4"/>
                <w:bottom w:val="none" w:color="000000" w:sz="4"/>
                <w:right w:val="none" w:color="000000" w:sz="4"/>
                <w:insideH w:val="none"/>
                <w:insideV w:val="none"/>
              </w:tblBorders>
            </w:tblPr>
            <w:tblGrid>
              <w:gridCol w:w="333"/>
              <w:gridCol w:w="873"/>
              <w:gridCol w:w="455"/>
              <w:gridCol w:w="879"/>
            </w:tblGrid>
            <w:tr>
              <w:tc>
                <w:tcPr>
                  <w:tcW w:type="dxa" w:w="33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87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货物名称</w:t>
                  </w:r>
                </w:p>
              </w:tc>
              <w:tc>
                <w:tcPr>
                  <w:tcW w:type="dxa" w:w="455"/>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879"/>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w:t>
                  </w:r>
                </w:p>
              </w:tc>
            </w:tr>
            <w:tr>
              <w:tc>
                <w:tcPr>
                  <w:tcW w:type="dxa" w:w="333"/>
                  <w:tcBorders>
                    <w:top w:val="non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873"/>
                  <w:tcBorders>
                    <w:top w:val="non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99%磷酸二氢钾</w:t>
                  </w:r>
                </w:p>
              </w:tc>
              <w:tc>
                <w:tcPr>
                  <w:tcW w:type="dxa" w:w="455"/>
                  <w:tcBorders>
                    <w:top w:val="non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25000袋</w:t>
                  </w:r>
                </w:p>
              </w:tc>
              <w:tc>
                <w:tcPr>
                  <w:tcW w:type="dxa" w:w="879"/>
                  <w:tcBorders>
                    <w:top w:val="non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100g/袋，主成分有效含量≥99%</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24-表芸苔素内酯</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25000袋</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10g/袋，有效成分含量符合农药登记标准</w:t>
                  </w:r>
                </w:p>
              </w:tc>
            </w:tr>
          </w:tbl>
          <w:p>
            <w:pPr>
              <w:pStyle w:val="null3"/>
              <w:jc w:val="left"/>
            </w:pPr>
            <w:r>
              <w:rPr>
                <w:rFonts w:ascii="仿宋_GB2312" w:hAnsi="仿宋_GB2312" w:cs="仿宋_GB2312" w:eastAsia="仿宋_GB2312"/>
                <w:sz w:val="28"/>
                <w:color w:val="000000"/>
              </w:rPr>
              <w:t>2、飞防服务采购内容：2026年在鄠邑区全区范围内三类弱苗统一飞防服务（含药剂），面积约1.5万亩，药剂具体要求见第四点“服务要求”。</w:t>
            </w:r>
          </w:p>
          <w:p>
            <w:pPr>
              <w:pStyle w:val="null3"/>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质量</w:t>
            </w:r>
            <w:r>
              <w:rPr>
                <w:rFonts w:ascii="仿宋_GB2312" w:hAnsi="仿宋_GB2312" w:cs="仿宋_GB2312" w:eastAsia="仿宋_GB2312"/>
                <w:sz w:val="28"/>
                <w:b/>
                <w:color w:val="000000"/>
              </w:rPr>
              <w:t>要求</w:t>
            </w:r>
            <w:r>
              <w:rPr>
                <w:rFonts w:ascii="仿宋_GB2312" w:hAnsi="仿宋_GB2312" w:cs="仿宋_GB2312" w:eastAsia="仿宋_GB2312"/>
                <w:sz w:val="21"/>
                <w:b/>
                <w:color w:val="000000"/>
              </w:rPr>
              <w:t xml:space="preserve"> </w:t>
            </w:r>
          </w:p>
          <w:p>
            <w:pPr>
              <w:pStyle w:val="null3"/>
            </w:pPr>
            <w:r>
              <w:rPr>
                <w:rFonts w:ascii="仿宋_GB2312" w:hAnsi="仿宋_GB2312" w:cs="仿宋_GB2312" w:eastAsia="仿宋_GB2312"/>
                <w:sz w:val="28"/>
                <w:color w:val="000000"/>
              </w:rPr>
              <w:t>1.物资质量符合国家及地方质量标准。</w:t>
            </w:r>
          </w:p>
          <w:p>
            <w:pPr>
              <w:pStyle w:val="null3"/>
            </w:pPr>
            <w:r>
              <w:rPr>
                <w:rFonts w:ascii="仿宋_GB2312" w:hAnsi="仿宋_GB2312" w:cs="仿宋_GB2312" w:eastAsia="仿宋_GB2312"/>
                <w:sz w:val="28"/>
                <w:color w:val="000000"/>
              </w:rPr>
              <w:t>2.飞防服务需达到小麦促弱转壮效果评估要求及符合相关技术要求。</w:t>
            </w:r>
          </w:p>
          <w:p>
            <w:pPr>
              <w:pStyle w:val="null3"/>
            </w:pPr>
            <w:r>
              <w:rPr>
                <w:rFonts w:ascii="仿宋_GB2312" w:hAnsi="仿宋_GB2312" w:cs="仿宋_GB2312" w:eastAsia="仿宋_GB2312"/>
                <w:sz w:val="28"/>
                <w:b/>
                <w:color w:val="000000"/>
              </w:rPr>
              <w:t>四、服务要求</w:t>
            </w:r>
          </w:p>
          <w:p>
            <w:pPr>
              <w:pStyle w:val="null3"/>
            </w:pPr>
            <w:r>
              <w:rPr>
                <w:rFonts w:ascii="仿宋_GB2312" w:hAnsi="仿宋_GB2312" w:cs="仿宋_GB2312" w:eastAsia="仿宋_GB2312"/>
                <w:sz w:val="28"/>
                <w:color w:val="000000"/>
              </w:rPr>
              <w:t>1. 喷施服务要求</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1）植保器械先进，作业能力强，制度健全，管理规范；</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2）针对2026年小麦因前期晚播、土壤湿度过大、病虫害基数较高等因素造成的弱苗情况，制定有效的技术方案和工作方案科学；</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3）服务内容包括采购药剂及喷施服务，选择的药剂使用要求同下表，必须增加飞防助剂，要符合国家标准，三证齐全，高效低毒、安全环保（提供农药三证）。</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4）要在小麦抽穗至灌浆期完成促粒数、增粒重，防病虫，防早衰的喷施任务，项目区喷防面积达到应实施面积的100%（面积不小于1.5万亩），总体增产5%，灾害损失率控制在4%以内。</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color w:val="000000"/>
              </w:rPr>
              <w:t>5）农药助剂选用飞防助剂，防治作业器械选用植保无人机或自走式喷杆喷雾机。</w:t>
            </w:r>
          </w:p>
          <w:p>
            <w:pPr>
              <w:pStyle w:val="null3"/>
              <w:jc w:val="left"/>
            </w:pPr>
            <w:r>
              <w:rPr>
                <w:rFonts w:ascii="仿宋_GB2312" w:hAnsi="仿宋_GB2312" w:cs="仿宋_GB2312" w:eastAsia="仿宋_GB2312"/>
                <w:sz w:val="28"/>
                <w:color w:val="000000"/>
              </w:rPr>
              <w:t>2.2 药剂使用要求</w:t>
            </w:r>
          </w:p>
          <w:tbl>
            <w:tblPr>
              <w:tblInd w:type="dxa" w:w="120"/>
              <w:tblBorders>
                <w:top w:val="none" w:color="000000" w:sz="4"/>
                <w:left w:val="none" w:color="000000" w:sz="4"/>
                <w:bottom w:val="none" w:color="000000" w:sz="4"/>
                <w:right w:val="none" w:color="000000" w:sz="4"/>
                <w:insideH w:val="none"/>
                <w:insideV w:val="none"/>
              </w:tblBorders>
            </w:tblPr>
            <w:tblGrid>
              <w:gridCol w:w="317"/>
              <w:gridCol w:w="462"/>
              <w:gridCol w:w="861"/>
              <w:gridCol w:w="913"/>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药剂名称</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技术指标、参数</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叶面肥</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按农业农村部登记药剂的推荐剂量，总计不小于</w:t>
                  </w:r>
                  <w:r>
                    <w:rPr>
                      <w:rFonts w:ascii="仿宋_GB2312" w:hAnsi="仿宋_GB2312" w:cs="仿宋_GB2312" w:eastAsia="仿宋_GB2312"/>
                      <w:sz w:val="28"/>
                      <w:color w:val="000000"/>
                    </w:rPr>
                    <w:t>1.5万亩</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磷酸二氢钾</w:t>
                  </w:r>
                  <w:r>
                    <w:rPr>
                      <w:rFonts w:ascii="仿宋_GB2312" w:hAnsi="仿宋_GB2312" w:cs="仿宋_GB2312" w:eastAsia="仿宋_GB2312"/>
                      <w:sz w:val="28"/>
                      <w:color w:val="000000"/>
                    </w:rPr>
                    <w:t>(膨化型飞防级)、亚磷酸钾或含黄腐酸水溶肥含氨基酸水溶肥等。</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生长调节剂</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按农业农村部登记药剂的推荐剂量，总计不小于</w:t>
                  </w:r>
                  <w:r>
                    <w:rPr>
                      <w:rFonts w:ascii="仿宋_GB2312" w:hAnsi="仿宋_GB2312" w:cs="仿宋_GB2312" w:eastAsia="仿宋_GB2312"/>
                      <w:sz w:val="28"/>
                      <w:color w:val="000000"/>
                    </w:rPr>
                    <w:t>1.5万亩</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芸苔素内酯或氨基寡糖素等。</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杀虫剂</w:t>
                  </w:r>
                </w:p>
                <w:p>
                  <w:pPr>
                    <w:pStyle w:val="null3"/>
                    <w:jc w:val="center"/>
                  </w:p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按农业农村部登记药剂的推荐剂量上限，总计不小于</w:t>
                  </w:r>
                  <w:r>
                    <w:rPr>
                      <w:rFonts w:ascii="仿宋_GB2312" w:hAnsi="仿宋_GB2312" w:cs="仿宋_GB2312" w:eastAsia="仿宋_GB2312"/>
                      <w:sz w:val="28"/>
                      <w:color w:val="000000"/>
                    </w:rPr>
                    <w:t>1.5万亩。</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高效氯氟氰菊酯、氟啶虫酰胺、呋虫胺、噻虫嗪、噻虫胺等防治小麦蚜虫的复配制剂。</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杀菌剂</w:t>
                  </w:r>
                </w:p>
                <w:p>
                  <w:pPr>
                    <w:pStyle w:val="null3"/>
                    <w:jc w:val="center"/>
                  </w:p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按农业农村部登记药剂的推荐剂量上限，总计不小于</w:t>
                  </w:r>
                  <w:r>
                    <w:rPr>
                      <w:rFonts w:ascii="仿宋_GB2312" w:hAnsi="仿宋_GB2312" w:cs="仿宋_GB2312" w:eastAsia="仿宋_GB2312"/>
                      <w:sz w:val="28"/>
                      <w:color w:val="000000"/>
                    </w:rPr>
                    <w:t>1.5万亩。</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氰烯菌酯、丙硫菌唑、吡唑嘧菌酯、肟菌酯、戊唑醇等防治赤霉病的复配剂。</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飞防助剂</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按农业农村部登记药剂的推荐剂量上限，总计不小于</w:t>
                  </w:r>
                  <w:r>
                    <w:rPr>
                      <w:rFonts w:ascii="仿宋_GB2312" w:hAnsi="仿宋_GB2312" w:cs="仿宋_GB2312" w:eastAsia="仿宋_GB2312"/>
                      <w:sz w:val="28"/>
                      <w:color w:val="000000"/>
                    </w:rPr>
                    <w:t>1.5万亩</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有机硅类或植物油类、复合类等。</w:t>
                  </w:r>
                </w:p>
              </w:tc>
            </w:tr>
          </w:tbl>
          <w:p>
            <w:pPr>
              <w:pStyle w:val="null3"/>
              <w:numPr>
                <w:ilvl w:val="0"/>
                <w:numId w:val="1"/>
              </w:numPr>
            </w:pPr>
            <w:r>
              <w:rPr>
                <w:rFonts w:ascii="仿宋_GB2312" w:hAnsi="仿宋_GB2312" w:cs="仿宋_GB2312" w:eastAsia="仿宋_GB2312"/>
                <w:sz w:val="28"/>
                <w:b/>
                <w:color w:val="000000"/>
              </w:rPr>
              <w:t>人员及设备要求</w:t>
            </w:r>
          </w:p>
          <w:p>
            <w:pPr>
              <w:pStyle w:val="null3"/>
              <w:jc w:val="both"/>
            </w:pPr>
            <w:r>
              <w:rPr>
                <w:rFonts w:ascii="仿宋_GB2312" w:hAnsi="仿宋_GB2312" w:cs="仿宋_GB2312" w:eastAsia="仿宋_GB2312"/>
                <w:sz w:val="28"/>
              </w:rPr>
              <w:t>1.供应商具备植保无人机系统操作手合格证的飞手至少8人。</w:t>
            </w:r>
          </w:p>
          <w:p>
            <w:pPr>
              <w:pStyle w:val="null3"/>
            </w:pPr>
            <w:r>
              <w:rPr>
                <w:rFonts w:ascii="仿宋_GB2312" w:hAnsi="仿宋_GB2312" w:cs="仿宋_GB2312" w:eastAsia="仿宋_GB2312"/>
                <w:sz w:val="28"/>
                <w:color w:val="000000"/>
              </w:rPr>
              <w:t>2.供应商具备开展航化作业的无人机设备至少8台</w:t>
            </w:r>
            <w:r>
              <w:rPr>
                <w:rFonts w:ascii="仿宋_GB2312" w:hAnsi="仿宋_GB2312" w:cs="仿宋_GB2312" w:eastAsia="仿宋_GB2312"/>
                <w:sz w:val="28"/>
                <w:color w:val="000000"/>
              </w:rPr>
              <w:t>（载药量</w:t>
            </w:r>
            <w:r>
              <w:rPr>
                <w:rFonts w:ascii="仿宋_GB2312" w:hAnsi="仿宋_GB2312" w:cs="仿宋_GB2312" w:eastAsia="仿宋_GB2312"/>
                <w:sz w:val="28"/>
                <w:color w:val="000000"/>
              </w:rPr>
              <w:t>50公斤以上）或自走式喷杆喷雾机。</w:t>
            </w:r>
            <w:r>
              <w:rPr>
                <w:rFonts w:ascii="仿宋_GB2312" w:hAnsi="仿宋_GB2312" w:cs="仿宋_GB2312" w:eastAsia="仿宋_GB2312"/>
                <w:sz w:val="28"/>
                <w:color w:val="000000"/>
              </w:rPr>
              <w:t>（提供购机发票或付款凭证或租赁凭证等）。</w:t>
            </w:r>
          </w:p>
          <w:p>
            <w:pPr>
              <w:pStyle w:val="null3"/>
            </w:pPr>
            <w:r>
              <w:rPr>
                <w:rFonts w:ascii="仿宋_GB2312" w:hAnsi="仿宋_GB2312" w:cs="仿宋_GB2312" w:eastAsia="仿宋_GB2312"/>
                <w:sz w:val="28"/>
                <w:b/>
                <w:color w:val="000000"/>
              </w:rPr>
              <w:t>六、</w:t>
            </w:r>
            <w:r>
              <w:rPr>
                <w:rFonts w:ascii="仿宋_GB2312" w:hAnsi="仿宋_GB2312" w:cs="仿宋_GB2312" w:eastAsia="仿宋_GB2312"/>
                <w:sz w:val="28"/>
                <w:b/>
                <w:color w:val="000000"/>
              </w:rPr>
              <w:t>商务要求</w:t>
            </w:r>
          </w:p>
          <w:p>
            <w:pPr>
              <w:pStyle w:val="null3"/>
            </w:pPr>
            <w:r>
              <w:rPr>
                <w:rFonts w:ascii="仿宋_GB2312" w:hAnsi="仿宋_GB2312" w:cs="仿宋_GB2312" w:eastAsia="仿宋_GB2312"/>
                <w:sz w:val="28"/>
                <w:color w:val="000000"/>
              </w:rPr>
              <w:t>1、服务期限：</w:t>
            </w:r>
          </w:p>
          <w:p>
            <w:pPr>
              <w:pStyle w:val="null3"/>
            </w:pPr>
            <w:r>
              <w:rPr>
                <w:rFonts w:ascii="仿宋_GB2312" w:hAnsi="仿宋_GB2312" w:cs="仿宋_GB2312" w:eastAsia="仿宋_GB2312"/>
                <w:sz w:val="28"/>
                <w:color w:val="000000"/>
              </w:rPr>
              <w:t>肥料及农药供货期限：合同签订后</w:t>
            </w:r>
            <w:r>
              <w:rPr>
                <w:rFonts w:ascii="仿宋_GB2312" w:hAnsi="仿宋_GB2312" w:cs="仿宋_GB2312" w:eastAsia="仿宋_GB2312"/>
                <w:sz w:val="28"/>
                <w:color w:val="000000"/>
              </w:rPr>
              <w:t>5日历日，具体日期以合同约定的日期为准。</w:t>
            </w:r>
          </w:p>
          <w:p>
            <w:pPr>
              <w:pStyle w:val="null3"/>
            </w:pPr>
            <w:r>
              <w:rPr>
                <w:rFonts w:ascii="仿宋_GB2312" w:hAnsi="仿宋_GB2312" w:cs="仿宋_GB2312" w:eastAsia="仿宋_GB2312"/>
                <w:sz w:val="28"/>
                <w:color w:val="000000"/>
              </w:rPr>
              <w:t>飞防服务期：</w:t>
            </w:r>
            <w:r>
              <w:rPr>
                <w:rFonts w:ascii="仿宋_GB2312" w:hAnsi="仿宋_GB2312" w:cs="仿宋_GB2312" w:eastAsia="仿宋_GB2312"/>
                <w:sz w:val="28"/>
                <w:color w:val="000000"/>
              </w:rPr>
              <w:t>2026年4月下旬到5月下旬，完成小麦促弱转壮面积1.5万亩。</w:t>
            </w:r>
          </w:p>
          <w:p>
            <w:pPr>
              <w:pStyle w:val="null3"/>
            </w:pPr>
            <w:r>
              <w:rPr>
                <w:rFonts w:ascii="仿宋_GB2312" w:hAnsi="仿宋_GB2312" w:cs="仿宋_GB2312" w:eastAsia="仿宋_GB2312"/>
                <w:sz w:val="28"/>
                <w:color w:val="000000"/>
              </w:rPr>
              <w:t>2、货物送达地点：西安市鄠邑区范围内采购人指定地点。</w:t>
            </w:r>
          </w:p>
          <w:p>
            <w:pPr>
              <w:pStyle w:val="null3"/>
            </w:pPr>
            <w:r>
              <w:rPr>
                <w:rFonts w:ascii="仿宋_GB2312" w:hAnsi="仿宋_GB2312" w:cs="仿宋_GB2312" w:eastAsia="仿宋_GB2312"/>
                <w:sz w:val="28"/>
                <w:color w:val="000000"/>
              </w:rPr>
              <w:t>4、肥料及农药质保期：当年新生产或者剩余保质期不少于6个月。</w:t>
            </w:r>
          </w:p>
          <w:p>
            <w:pPr>
              <w:pStyle w:val="null3"/>
            </w:pPr>
            <w:r>
              <w:rPr>
                <w:rFonts w:ascii="仿宋_GB2312" w:hAnsi="仿宋_GB2312" w:cs="仿宋_GB2312" w:eastAsia="仿宋_GB2312"/>
                <w:sz w:val="28"/>
                <w:color w:val="000000"/>
              </w:rPr>
              <w:t>5、供应商</w:t>
            </w:r>
            <w:r>
              <w:rPr>
                <w:rFonts w:ascii="仿宋_GB2312" w:hAnsi="仿宋_GB2312" w:cs="仿宋_GB2312" w:eastAsia="仿宋_GB2312"/>
                <w:sz w:val="28"/>
                <w:color w:val="000000"/>
              </w:rPr>
              <w:t>能够给采购人提供航化作业监管系统，核查无人机作业的地点、时间、轨迹及面积等信息。</w:t>
            </w:r>
          </w:p>
          <w:p>
            <w:pPr>
              <w:pStyle w:val="null3"/>
            </w:pPr>
            <w:r>
              <w:rPr>
                <w:rFonts w:ascii="仿宋_GB2312" w:hAnsi="仿宋_GB2312" w:cs="仿宋_GB2312" w:eastAsia="仿宋_GB2312"/>
                <w:sz w:val="28"/>
                <w:color w:val="000000"/>
              </w:rPr>
              <w:t>6、本项目单价限价：99%磷酸二氢钾：2.5元/袋/100g；24-表芸苔素内酯：1.5元/袋/10g；飞防：20元/亩</w:t>
            </w:r>
            <w:r>
              <w:rPr>
                <w:rFonts w:ascii="仿宋_GB2312" w:hAnsi="仿宋_GB2312" w:cs="仿宋_GB2312" w:eastAsia="仿宋_GB2312"/>
                <w:sz w:val="28"/>
                <w:color w:val="000000"/>
              </w:rPr>
              <w:t>（含药剂）</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rPr>
              <w:t>各供应商在单价限价的基础上自行报价，单价报价不得超过单价限价否则按无效标处理。</w:t>
            </w:r>
          </w:p>
        </w:tc>
      </w:tr>
    </w:tbl>
    <w:p>
      <w:pPr>
        <w:pStyle w:val="null3"/>
      </w:pPr>
      <w:r>
        <w:rPr>
          <w:rFonts w:ascii="仿宋_GB2312" w:hAnsi="仿宋_GB2312" w:cs="仿宋_GB2312" w:eastAsia="仿宋_GB2312"/>
        </w:rPr>
        <w:t>标的名称：2026年中央财政西安市鄠邑区冬小麦促弱转壮项目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同上（1-1）</w:t>
            </w:r>
          </w:p>
        </w:tc>
      </w:tr>
    </w:tbl>
    <w:p>
      <w:pPr>
        <w:pStyle w:val="null3"/>
      </w:pPr>
      <w:r>
        <w:rPr>
          <w:rFonts w:ascii="仿宋_GB2312" w:hAnsi="仿宋_GB2312" w:cs="仿宋_GB2312" w:eastAsia="仿宋_GB2312"/>
        </w:rPr>
        <w:t>标的名称：2026年中央财政西安市鄠邑区冬小麦促弱转壮项目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同上（1-1）</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根据项目实际情况配置所需设备。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肥料及农药供货期限：合同签订后5日历日，具体日期以合同约定的日期为准。 飞防服务期：2026年4月下旬到5月下旬，完成小麦促弱转壮面积1.5万亩。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西安市鄠邑区范围内采购人指定地点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服务结束后，成交人提供收货清单等认定凭证，并经采购人验收合格后，采购人一次性付清全部合同款项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1、供应商不能按期交货的，每逾期1日，供应商应向采购人赔付合同总价的1%采购人有权从其他渠道获取，由此产生的费用由供应商承担。 2、除自然灾害及不可抗力因素外，任何一方无故终止合同或不履行合同规定的条款，违约一方应向对方承担违约责任。 争议解决 双方本着友好合作的态度,对合同履行过程中发生的纠纷应及时协商解决，协商不成的，向采购人所在地有管辖权的人民法院诉讼解决。</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3.4.1谈判报价为完成本项目谈判文件中所提出的工作范围及要求的全部内容，并达到国家及采购人验收标准而产生的所有费用，包括但不限于以下内容：人工费、药物费、包装费、仓储费、配送费、装卸费、调换费、保险费、代理服务费、利润、风险、税金等所需的全部费用，不因项目规模、政策调整等因素增减。任何错报、漏报由供应商自行负责。 3.4.2本项目所属行业：其他未列明行业。从业人员300人以下的为中小微型企业。其中，从业人员100人及以上的为中型企业；从业人员10人及以上的为小型企业；从业人员10人以下的为微型企业。 3.4.3成交人领取成交通知书时须向代理机构提交纸质版响应文件：正本壹份、副本贰份、电子版（U盘）贰份。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法定代表人授权委托书（附法定代表人身份证复印件）及被授权委托人身份证（法定代表人参加谈判只需提供法定代表人身份证）；供应商需在项目电子化交易系统中按要求上传相应证明文件并进行电子签章。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提供2024年度或2025年度的财务审计报告或谈判前3个月内供应商基本账户银行出具的资信证明；供应商需在项目电子化交易系统中按要求上传相应证明文件并进行电子签章。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是生产厂家的，提供的农药产品必须有“农药三证”（分别是《农药登记证》、《农药生产许可证或农药生产批准文件》、《农药标准证》）；供应商如为经销商的，须提供《农药经营许可证》及生产厂家的“农药三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供应商为中小企业或为残疾人福利性单位或为监狱企业</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非联合体谈判声明；供应商需在项目电子化交易系统中按要求上传相应证明文件并进行电子签章。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 其他未列明行业。从业人员300人以下的为中小微型企业。其中，从业人员100人及以上的为中型企业；从业人员10人及以上的为小型企业；从业人员10人以下的为微型企业。　</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（一）出现下列情形之一的，谈判小组应当启动异常低价投标（响应）审查程序： 1.谈判报价低于全部通过符合性审查供应商谈判报价平均值50%的，即谈判报价&lt;全部通过符合性审查供应商谈判报价平均值×50%； 2.谈判报价低于通过符合性审查的次低报价供应商谈判报价50%的，即谈判报价&lt;通过符合性审查的次低报价供应商投标（响应）报价×50%； 3.谈判报价低于采购项目最高限价45%的，即谈判报价&lt;采购项目最高限价×45%； 4.谈判小组基于专业判断，认为供应商报价过低，有可能影响产品质量或者不能诚信履约的其他情形。 （二）谈判小组启动异常低价投标审查后，属于前述第1项至第4项情形的，相关供应商在30分钟内对谈判价格作出解释，提供项目具体成本测算等与报价合理性相关的书面说明及必要的证明材料，包括但不限于原材料成本、人工成本、制造费用等。 谈判小组依据专业经验，参考同类项目中标（成交）价格、类似产品市场价格水平、行业人工费用标准、国家有关部门指导行业协会发布的行业平均成本等情况，对报价合理性进行判断。 谈判供应商不能提供书面说明、证明材料，或者提供的书面说明、证明材料不能证明其报价合理性的，谈判小组应当将其作为无效谈判处理。</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供应商服务方案.docx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供应商服务方案.docx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谈判响应有效期</w:t>
            </w:r>
          </w:p>
        </w:tc>
        <w:tc>
          <w:tcPr>
            <w:tcW w:type="dxa" w:w="3322"/>
          </w:tcPr>
          <w:p>
            <w:pPr>
              <w:pStyle w:val="null3"/>
            </w:pPr>
            <w:r>
              <w:rPr>
                <w:rFonts w:ascii="仿宋_GB2312" w:hAnsi="仿宋_GB2312" w:cs="仿宋_GB2312" w:eastAsia="仿宋_GB2312"/>
              </w:rPr>
              <w:t>谈判响应有效期达到谈判文件的要求；</w:t>
            </w:r>
          </w:p>
        </w:tc>
        <w:tc>
          <w:tcPr>
            <w:tcW w:type="dxa" w:w="1661"/>
          </w:tcPr>
          <w:p>
            <w:pPr>
              <w:pStyle w:val="null3"/>
            </w:pPr>
            <w:r>
              <w:rPr>
                <w:rFonts w:ascii="仿宋_GB2312" w:hAnsi="仿宋_GB2312" w:cs="仿宋_GB2312" w:eastAsia="仿宋_GB2312"/>
              </w:rPr>
              <w:t>响应文件封面 报价一览表.docx 供应商服务方案.docx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响应文件封面 报价一览表.docx 服务内容及服务邀请应答表 供应商服务方案.docx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响应文件封面 服务内容及服务邀请应答表 供应商服务方案.docx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供应商服务方案.docx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符合谈判文件规定的其他实质性要求</w:t>
            </w:r>
          </w:p>
        </w:tc>
        <w:tc>
          <w:tcPr>
            <w:tcW w:type="dxa" w:w="3322"/>
          </w:tcPr>
          <w:p>
            <w:pPr>
              <w:pStyle w:val="null3"/>
            </w:pPr>
            <w:r>
              <w:rPr>
                <w:rFonts w:ascii="仿宋_GB2312" w:hAnsi="仿宋_GB2312" w:cs="仿宋_GB2312" w:eastAsia="仿宋_GB2312"/>
              </w:rPr>
              <w:t>符合谈判文件规定的其他实质性要求；</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供应商服务方案.docx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符合《中华人民共和国政府采购法》有关规定和谈判纪律</w:t>
            </w:r>
          </w:p>
        </w:tc>
        <w:tc>
          <w:tcPr>
            <w:tcW w:type="dxa" w:w="3322"/>
          </w:tcPr>
          <w:p>
            <w:pPr>
              <w:pStyle w:val="null3"/>
            </w:pPr>
            <w:r>
              <w:rPr>
                <w:rFonts w:ascii="仿宋_GB2312" w:hAnsi="仿宋_GB2312" w:cs="仿宋_GB2312" w:eastAsia="仿宋_GB2312"/>
              </w:rPr>
              <w:t>符合《中华人民共和国政府采购法》有关规定和谈判纪律。</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供应商服务方案.docx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应当从质量和服务均能满足采购文件实质性响应要求的供应商中，按照最后报价由低到高的顺序推荐。最后报价相同的，按照技术指标优劣顺序推荐。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