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版本号：XACH2026-02520260414001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西安市鄠邑区2025-2026年度小麦促弱转壮项目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XACH2026-025</w:t>
      </w:r>
      <w:r>
        <w:br/>
      </w:r>
      <w:r>
        <w:br/>
      </w:r>
      <w:r>
        <w:br/>
      </w:r>
    </w:p>
    <w:p>
      <w:pPr>
        <w:pStyle w:val="null3"/>
        <w:jc w:val="center"/>
        <w:outlineLvl w:val="2"/>
      </w:pPr>
      <w:r>
        <w:rPr>
          <w:rFonts w:ascii="仿宋_GB2312" w:hAnsi="仿宋_GB2312" w:cs="仿宋_GB2312" w:eastAsia="仿宋_GB2312"/>
          <w:sz w:val="28"/>
          <w:b/>
        </w:rPr>
        <w:t>西安市鄠邑区农业技术推广中心</w:t>
      </w:r>
    </w:p>
    <w:p>
      <w:pPr>
        <w:pStyle w:val="null3"/>
        <w:jc w:val="center"/>
        <w:outlineLvl w:val="2"/>
      </w:pPr>
      <w:r>
        <w:rPr>
          <w:rFonts w:ascii="仿宋_GB2312" w:hAnsi="仿宋_GB2312" w:cs="仿宋_GB2312" w:eastAsia="仿宋_GB2312"/>
          <w:sz w:val="28"/>
          <w:b/>
        </w:rPr>
        <w:t>西安辰和工程咨询有限公司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西安辰和工程咨询有限公司</w:t>
      </w:r>
      <w:r>
        <w:rPr>
          <w:rFonts w:ascii="仿宋_GB2312" w:hAnsi="仿宋_GB2312" w:cs="仿宋_GB2312" w:eastAsia="仿宋_GB2312"/>
        </w:rPr>
        <w:t>（以下简称“代理机构”）受</w:t>
      </w:r>
      <w:r>
        <w:rPr>
          <w:rFonts w:ascii="仿宋_GB2312" w:hAnsi="仿宋_GB2312" w:cs="仿宋_GB2312" w:eastAsia="仿宋_GB2312"/>
        </w:rPr>
        <w:t>西安市鄠邑区农业技术推广中心</w:t>
      </w:r>
      <w:r>
        <w:rPr>
          <w:rFonts w:ascii="仿宋_GB2312" w:hAnsi="仿宋_GB2312" w:cs="仿宋_GB2312" w:eastAsia="仿宋_GB2312"/>
        </w:rPr>
        <w:t>委托，拟对</w:t>
      </w:r>
      <w:r>
        <w:rPr>
          <w:rFonts w:ascii="仿宋_GB2312" w:hAnsi="仿宋_GB2312" w:cs="仿宋_GB2312" w:eastAsia="仿宋_GB2312"/>
        </w:rPr>
        <w:t>西安市鄠邑区2025-2026年度小麦促弱转壮项目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XACH2026-025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西安市鄠邑区2025-2026年度小麦促弱转壮项目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西安市鄠邑区2025-2026年度小麦促弱转壮项目，具体内容详见竞争性谈判文件。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采购包1（西安市鄠邑区2025-2026年度小麦促弱转壮项目）：属于专门面向中小企业采购。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供应商应具有独立承担民事责任的能力且具备向采购人提供相关货物的企业法人、其他组织或者自然人，企业法人应提供统一社会信用代码的营业执照；其他组织应提供合法证明文件；自然人提供身份证明文件；供应商需在项目电子化交易系统中按要求上传相应证明文件并进行电子签章。</w:t>
      </w:r>
    </w:p>
    <w:p>
      <w:pPr>
        <w:pStyle w:val="null3"/>
      </w:pPr>
      <w:r>
        <w:rPr>
          <w:rFonts w:ascii="仿宋_GB2312" w:hAnsi="仿宋_GB2312" w:cs="仿宋_GB2312" w:eastAsia="仿宋_GB2312"/>
        </w:rPr>
        <w:t>2、供应商应授权合法的人员参加谈判全过程：法定代表人授权委托书（附法定代表人身份证复印件）及被授权委托人身份证（法定代表人参加谈判只需提供法定代表人身份证）；供应商需在项目电子化交易系统中按要求上传相应证明文件并进行电子签章。</w:t>
      </w:r>
    </w:p>
    <w:p>
      <w:pPr>
        <w:pStyle w:val="null3"/>
      </w:pPr>
      <w:r>
        <w:rPr>
          <w:rFonts w:ascii="仿宋_GB2312" w:hAnsi="仿宋_GB2312" w:cs="仿宋_GB2312" w:eastAsia="仿宋_GB2312"/>
        </w:rPr>
        <w:t>3、有依法缴纳税收和社会保障资金的良好记录：提供依法缴纳税收和社会保障资金的相关材料，依法免税的供应商应具有税务部门出具的证明文件；依法不需要缴纳社会保障资金的供应商，需具有社保部门出具的证明文件；供应商需在项目电子化交易系统中按要求上传相应证明文件并进行电子签章。</w:t>
      </w:r>
    </w:p>
    <w:p>
      <w:pPr>
        <w:pStyle w:val="null3"/>
      </w:pPr>
      <w:r>
        <w:rPr>
          <w:rFonts w:ascii="仿宋_GB2312" w:hAnsi="仿宋_GB2312" w:cs="仿宋_GB2312" w:eastAsia="仿宋_GB2312"/>
        </w:rPr>
        <w:t>4、供应商具有良好的商业信誉和健全的财务会计制度：提供2024年度或2025年度的财务审计报告或谈判前3个月内供应商基本账户银行出具的资信证明；供应商需在项目电子化交易系统中按要求上传相应证明文件并进行电子签章。</w:t>
      </w:r>
    </w:p>
    <w:p>
      <w:pPr>
        <w:pStyle w:val="null3"/>
      </w:pPr>
      <w:r>
        <w:rPr>
          <w:rFonts w:ascii="仿宋_GB2312" w:hAnsi="仿宋_GB2312" w:cs="仿宋_GB2312" w:eastAsia="仿宋_GB2312"/>
        </w:rPr>
        <w:t>5、供应商具有履行合同所必需的设备和专业技术能力：具有履行合同所必需的设备和专业技术能力的声明；供应商需在项目电子化交易系统中按要求上传相应证明文件并进行电子签章。</w:t>
      </w:r>
    </w:p>
    <w:p>
      <w:pPr>
        <w:pStyle w:val="null3"/>
      </w:pPr>
      <w:r>
        <w:rPr>
          <w:rFonts w:ascii="仿宋_GB2312" w:hAnsi="仿宋_GB2312" w:cs="仿宋_GB2312" w:eastAsia="仿宋_GB2312"/>
        </w:rPr>
        <w:t>6、供应商参加政府采购活动前三年内在经营活动中没有重大违法记录：提供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7、供应商为中小企业或为残疾人福利性单位或为监狱企业：供应商为中小企业的，应提供《中小企业声明函》；供应商为残疾人福利性单位的，应提供《残疾人福利性单位声明函》；供应商为监狱企业的，应提供《监狱企业证明函》；供应商需在项目电子化交易系统中按要求上传相应证明文件并进行电子签章。</w:t>
      </w:r>
    </w:p>
    <w:p>
      <w:pPr>
        <w:pStyle w:val="null3"/>
      </w:pPr>
      <w:r>
        <w:rPr>
          <w:rFonts w:ascii="仿宋_GB2312" w:hAnsi="仿宋_GB2312" w:cs="仿宋_GB2312" w:eastAsia="仿宋_GB2312"/>
        </w:rPr>
        <w:t>8、非联合体谈判：非联合体谈判声明；供应商需在项目电子化交易系统中按要求上传相应证明文件并进行电子签章。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西安市鄠邑区农业技术推广中心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西安市鄠邑区甘亭街道七一村72号（吉祥巷）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029-84882366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西安辰和工程咨询有限公司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西安高新区锦业路59号高科智慧园B座四层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刘娜娜、单云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029-82285837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采购包1：412,500.00元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成交供应商支付代理服务费，代理服务费参照《国家计委关于印发&lt;招标代理服务收费管理暂行办法&gt;的通知》（计价格〔2002〕1980号）和发改办价格〔2003〕857号以及发改价格〔2011〕534号文中规定的标准执行，按差额定率累进法收取费用，100万以下按1.5%收取，不足5000元按照5000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西安市鄠邑区农业技术推广中心</w:t>
      </w:r>
      <w:r>
        <w:rPr>
          <w:rFonts w:ascii="仿宋_GB2312" w:hAnsi="仿宋_GB2312" w:cs="仿宋_GB2312" w:eastAsia="仿宋_GB2312"/>
        </w:rPr>
        <w:t>和</w:t>
      </w:r>
      <w:r>
        <w:rPr>
          <w:rFonts w:ascii="仿宋_GB2312" w:hAnsi="仿宋_GB2312" w:cs="仿宋_GB2312" w:eastAsia="仿宋_GB2312"/>
        </w:rPr>
        <w:t>西安辰和工程咨询有限公司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西安市鄠邑区农业技术推广中心</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西安辰和工程咨询有限公司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西安市鄠邑区农业技术推广中心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西安辰和工程咨询有限公司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1、质量符合国家相关法律法规规定的合格标准、谈判文件的要求。 2、验收依据：合同文本、谈判文件和响应文件。</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联系人：刘娜娜</w:t>
      </w:r>
    </w:p>
    <w:p>
      <w:pPr>
        <w:pStyle w:val="null3"/>
      </w:pPr>
      <w:r>
        <w:rPr>
          <w:rFonts w:ascii="仿宋_GB2312" w:hAnsi="仿宋_GB2312" w:cs="仿宋_GB2312" w:eastAsia="仿宋_GB2312"/>
        </w:rPr>
        <w:t>联系电话：029-82285837、029-82286063</w:t>
      </w:r>
    </w:p>
    <w:p>
      <w:pPr>
        <w:pStyle w:val="null3"/>
      </w:pPr>
      <w:r>
        <w:rPr>
          <w:rFonts w:ascii="仿宋_GB2312" w:hAnsi="仿宋_GB2312" w:cs="仿宋_GB2312" w:eastAsia="仿宋_GB2312"/>
        </w:rPr>
        <w:t>地址：西安高新区锦业路59号高科智慧园B座四层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8"/>
        </w:rPr>
        <w:t>为切实减轻灾害影响，确保夏季粮油生产安全，现开展小麦促弱转壮工作。</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412,500.00</w:t>
      </w:r>
    </w:p>
    <w:p>
      <w:pPr>
        <w:pStyle w:val="null3"/>
      </w:pPr>
      <w:r>
        <w:rPr>
          <w:rFonts w:ascii="仿宋_GB2312" w:hAnsi="仿宋_GB2312" w:cs="仿宋_GB2312" w:eastAsia="仿宋_GB2312"/>
        </w:rPr>
        <w:t>采购包最高限价（元）: 412,500.00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西安市鄠邑区2025-2026年度小麦促弱转壮项目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412,500.00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标的名称：西安市鄠邑区2025-2026年度小麦促弱转壮项目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一、</w:t>
            </w:r>
            <w:r>
              <w:rPr>
                <w:rFonts w:ascii="仿宋_GB2312" w:hAnsi="仿宋_GB2312" w:cs="仿宋_GB2312" w:eastAsia="仿宋_GB2312"/>
                <w:sz w:val="28"/>
                <w:b/>
              </w:rPr>
              <w:t>项目概况</w:t>
            </w:r>
            <w:r>
              <w:rPr>
                <w:rFonts w:ascii="仿宋_GB2312" w:hAnsi="仿宋_GB2312" w:cs="仿宋_GB2312" w:eastAsia="仿宋_GB2312"/>
                <w:sz w:val="20"/>
              </w:rPr>
              <w:t xml:space="preserve">  </w:t>
            </w:r>
          </w:p>
          <w:p>
            <w:pPr>
              <w:pStyle w:val="null3"/>
              <w:jc w:val="both"/>
            </w:pPr>
            <w:r>
              <w:rPr>
                <w:rFonts w:ascii="仿宋_GB2312" w:hAnsi="仿宋_GB2312" w:cs="仿宋_GB2312" w:eastAsia="仿宋_GB2312"/>
                <w:sz w:val="28"/>
              </w:rPr>
              <w:t>为切实减轻灾害影响，确保夏季粮油生产安全，现开展小麦促弱转壮工作。</w:t>
            </w:r>
            <w:r>
              <w:rPr>
                <w:rFonts w:ascii="仿宋_GB2312" w:hAnsi="仿宋_GB2312" w:cs="仿宋_GB2312" w:eastAsia="仿宋_GB2312"/>
                <w:sz w:val="28"/>
              </w:rPr>
              <w:t xml:space="preserve">  </w:t>
            </w:r>
          </w:p>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采购内容</w:t>
            </w:r>
            <w:r>
              <w:rPr>
                <w:rFonts w:ascii="仿宋_GB2312" w:hAnsi="仿宋_GB2312" w:cs="仿宋_GB2312" w:eastAsia="仿宋_GB2312"/>
                <w:sz w:val="21"/>
                <w:b/>
              </w:rPr>
              <w:t xml:space="preserve"> </w:t>
            </w:r>
          </w:p>
          <w:tbl>
            <w:tblPr>
              <w:tblInd w:type="dxa" w:w="120"/>
              <w:tblBorders>
                <w:top w:val="none" w:color="000000" w:sz="4"/>
                <w:left w:val="none" w:color="000000" w:sz="4"/>
                <w:bottom w:val="none" w:color="000000" w:sz="4"/>
                <w:right w:val="none" w:color="000000" w:sz="4"/>
                <w:insideH w:val="none"/>
                <w:insideV w:val="none"/>
              </w:tblBorders>
            </w:tblPr>
            <w:tblGrid>
              <w:gridCol w:w="319"/>
              <w:gridCol w:w="841"/>
              <w:gridCol w:w="531"/>
              <w:gridCol w:w="851"/>
            </w:tblGrid>
            <w:tr>
              <w:tc>
                <w:tcPr>
                  <w:tcW w:type="dxa" w:w="319"/>
                  <w:tcBorders>
                    <w:top w:val="single" w:color="A5A5A5" w:sz="4"/>
                    <w:left w:val="single" w:color="A5A5A5" w:sz="4"/>
                    <w:bottom w:val="single" w:color="A5A5A5" w:sz="4"/>
                    <w:right w:val="none" w:color="000000" w:sz="4"/>
                  </w:tcBorders>
                  <w:shd w:fill="A5A5A5"/>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序号</w:t>
                  </w:r>
                </w:p>
              </w:tc>
              <w:tc>
                <w:tcPr>
                  <w:tcW w:type="dxa" w:w="841"/>
                  <w:tcBorders>
                    <w:top w:val="single" w:color="A5A5A5" w:sz="4"/>
                    <w:left w:val="single" w:color="C8C8C8" w:sz="4"/>
                    <w:bottom w:val="single" w:color="A5A5A5" w:sz="4"/>
                    <w:right w:val="none" w:color="000000" w:sz="4"/>
                  </w:tcBorders>
                  <w:shd w:fill="A5A5A5"/>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货物名称</w:t>
                  </w:r>
                </w:p>
              </w:tc>
              <w:tc>
                <w:tcPr>
                  <w:tcW w:type="dxa" w:w="531"/>
                  <w:tcBorders>
                    <w:top w:val="single" w:color="A5A5A5" w:sz="4"/>
                    <w:left w:val="single" w:color="C8C8C8" w:sz="4"/>
                    <w:bottom w:val="single" w:color="A5A5A5" w:sz="4"/>
                    <w:right w:val="none" w:color="000000" w:sz="4"/>
                  </w:tcBorders>
                  <w:shd w:fill="A5A5A5"/>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数量</w:t>
                  </w:r>
                </w:p>
              </w:tc>
              <w:tc>
                <w:tcPr>
                  <w:tcW w:type="dxa" w:w="851"/>
                  <w:tcBorders>
                    <w:top w:val="single" w:color="A5A5A5" w:sz="4"/>
                    <w:left w:val="single" w:color="C8C8C8" w:sz="4"/>
                    <w:bottom w:val="single" w:color="A5A5A5" w:sz="4"/>
                    <w:right w:val="single" w:color="A5A5A5" w:sz="4"/>
                  </w:tcBorders>
                  <w:shd w:fill="A5A5A5"/>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规格</w:t>
                  </w:r>
                </w:p>
              </w:tc>
            </w:tr>
            <w:tr>
              <w:tc>
                <w:tcPr>
                  <w:tcW w:type="dxa" w:w="319"/>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841"/>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sz w:val="28"/>
                    </w:rPr>
                    <w:t>99%磷酸二氢钾</w:t>
                  </w:r>
                </w:p>
                <w:p>
                  <w:pPr>
                    <w:pStyle w:val="null3"/>
                    <w:jc w:val="center"/>
                  </w:pPr>
                  <w:r>
                    <w:rPr>
                      <w:rFonts w:ascii="仿宋_GB2312" w:hAnsi="仿宋_GB2312" w:cs="仿宋_GB2312" w:eastAsia="仿宋_GB2312"/>
                      <w:sz w:val="28"/>
                    </w:rPr>
                    <w:t>(膨化型飞防级)</w:t>
                  </w:r>
                </w:p>
              </w:tc>
              <w:tc>
                <w:tcPr>
                  <w:tcW w:type="dxa" w:w="531"/>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165000</w:t>
                  </w:r>
                  <w:r>
                    <w:rPr>
                      <w:rFonts w:ascii="仿宋_GB2312" w:hAnsi="仿宋_GB2312" w:cs="仿宋_GB2312" w:eastAsia="仿宋_GB2312"/>
                      <w:sz w:val="28"/>
                    </w:rPr>
                    <w:t>袋</w:t>
                  </w:r>
                </w:p>
              </w:tc>
              <w:tc>
                <w:tcPr>
                  <w:tcW w:type="dxa" w:w="851"/>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100g/袋，主要成分有效含量≥99%</w:t>
                  </w:r>
                </w:p>
              </w:tc>
            </w:tr>
          </w:tbl>
          <w:p>
            <w:pPr>
              <w:pStyle w:val="null3"/>
              <w:jc w:val="both"/>
            </w:pPr>
            <w:r>
              <w:rPr>
                <w:rFonts w:ascii="仿宋_GB2312" w:hAnsi="仿宋_GB2312" w:cs="仿宋_GB2312" w:eastAsia="仿宋_GB2312"/>
                <w:sz w:val="28"/>
                <w:b/>
              </w:rPr>
              <w:t>三、</w:t>
            </w:r>
            <w:r>
              <w:rPr>
                <w:rFonts w:ascii="仿宋_GB2312" w:hAnsi="仿宋_GB2312" w:cs="仿宋_GB2312" w:eastAsia="仿宋_GB2312"/>
                <w:sz w:val="28"/>
                <w:b/>
              </w:rPr>
              <w:t>质量</w:t>
            </w:r>
            <w:r>
              <w:rPr>
                <w:rFonts w:ascii="仿宋_GB2312" w:hAnsi="仿宋_GB2312" w:cs="仿宋_GB2312" w:eastAsia="仿宋_GB2312"/>
                <w:sz w:val="28"/>
                <w:b/>
              </w:rPr>
              <w:t>要求</w:t>
            </w:r>
            <w:r>
              <w:rPr>
                <w:rFonts w:ascii="仿宋_GB2312" w:hAnsi="仿宋_GB2312" w:cs="仿宋_GB2312" w:eastAsia="仿宋_GB2312"/>
                <w:sz w:val="21"/>
                <w:b/>
              </w:rPr>
              <w:t xml:space="preserve"> </w:t>
            </w:r>
          </w:p>
          <w:p>
            <w:pPr>
              <w:pStyle w:val="null3"/>
              <w:jc w:val="both"/>
            </w:pPr>
            <w:r>
              <w:rPr>
                <w:rFonts w:ascii="仿宋_GB2312" w:hAnsi="仿宋_GB2312" w:cs="仿宋_GB2312" w:eastAsia="仿宋_GB2312"/>
                <w:sz w:val="28"/>
              </w:rPr>
              <w:t xml:space="preserve">  </w:t>
            </w:r>
            <w:r>
              <w:rPr>
                <w:rFonts w:ascii="仿宋_GB2312" w:hAnsi="仿宋_GB2312" w:cs="仿宋_GB2312" w:eastAsia="仿宋_GB2312"/>
                <w:sz w:val="28"/>
              </w:rPr>
              <w:t>物资质量符合国家及地方质量标准。</w:t>
            </w:r>
          </w:p>
          <w:p>
            <w:pPr>
              <w:pStyle w:val="null3"/>
              <w:jc w:val="both"/>
            </w:pPr>
            <w:r>
              <w:rPr>
                <w:rFonts w:ascii="仿宋_GB2312" w:hAnsi="仿宋_GB2312" w:cs="仿宋_GB2312" w:eastAsia="仿宋_GB2312"/>
                <w:sz w:val="28"/>
                <w:b/>
              </w:rPr>
              <w:t>四、服务要求</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在合同执行过程中需要供应商应执行的伴随服务的服务标准或应当履行的相关义务。</w:t>
            </w:r>
          </w:p>
          <w:p>
            <w:pPr>
              <w:pStyle w:val="null3"/>
              <w:jc w:val="both"/>
            </w:pPr>
            <w:r>
              <w:rPr>
                <w:rFonts w:ascii="仿宋_GB2312" w:hAnsi="仿宋_GB2312" w:cs="仿宋_GB2312" w:eastAsia="仿宋_GB2312"/>
                <w:sz w:val="28"/>
              </w:rPr>
              <w:t>2、供应商</w:t>
            </w:r>
            <w:r>
              <w:rPr>
                <w:rFonts w:ascii="仿宋_GB2312" w:hAnsi="仿宋_GB2312" w:cs="仿宋_GB2312" w:eastAsia="仿宋_GB2312"/>
                <w:sz w:val="28"/>
              </w:rPr>
              <w:t>按合同要求的时间保质保量向</w:t>
            </w:r>
            <w:r>
              <w:rPr>
                <w:rFonts w:ascii="仿宋_GB2312" w:hAnsi="仿宋_GB2312" w:cs="仿宋_GB2312" w:eastAsia="仿宋_GB2312"/>
                <w:sz w:val="28"/>
              </w:rPr>
              <w:t>采购人项目区配送购买的货物。</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肥料供货实行留样管理。供货方交付肥料时，应按批次随机抽取代表性样品，双方共同确认后封存留样，明确留样标识、保管期限及责任，确保产品质量可查、可追溯。</w:t>
            </w:r>
          </w:p>
          <w:p>
            <w:pPr>
              <w:pStyle w:val="null3"/>
              <w:jc w:val="both"/>
            </w:pPr>
            <w:r>
              <w:rPr>
                <w:rFonts w:ascii="仿宋_GB2312" w:hAnsi="仿宋_GB2312" w:cs="仿宋_GB2312" w:eastAsia="仿宋_GB2312"/>
                <w:sz w:val="28"/>
                <w:b/>
              </w:rPr>
              <w:t>五、商务要求</w:t>
            </w:r>
          </w:p>
          <w:p>
            <w:pPr>
              <w:pStyle w:val="null3"/>
              <w:jc w:val="both"/>
            </w:pPr>
            <w:r>
              <w:rPr>
                <w:rFonts w:ascii="仿宋_GB2312" w:hAnsi="仿宋_GB2312" w:cs="仿宋_GB2312" w:eastAsia="仿宋_GB2312"/>
                <w:sz w:val="28"/>
              </w:rPr>
              <w:t>1、供货期限：2026年4月25日到2026年4月30日</w:t>
            </w:r>
          </w:p>
          <w:p>
            <w:pPr>
              <w:pStyle w:val="null3"/>
              <w:jc w:val="both"/>
            </w:pPr>
            <w:r>
              <w:rPr>
                <w:rFonts w:ascii="仿宋_GB2312" w:hAnsi="仿宋_GB2312" w:cs="仿宋_GB2312" w:eastAsia="仿宋_GB2312"/>
                <w:sz w:val="28"/>
              </w:rPr>
              <w:t>2、时    间：接采购人通知后48小时内响应。</w:t>
            </w:r>
          </w:p>
          <w:p>
            <w:pPr>
              <w:pStyle w:val="null3"/>
              <w:jc w:val="both"/>
            </w:pPr>
            <w:r>
              <w:rPr>
                <w:rFonts w:ascii="仿宋_GB2312" w:hAnsi="仿宋_GB2312" w:cs="仿宋_GB2312" w:eastAsia="仿宋_GB2312"/>
                <w:sz w:val="28"/>
              </w:rPr>
              <w:t>3、货物送达地点：西安市鄠邑区范围内采购人指定地点。</w:t>
            </w:r>
          </w:p>
          <w:p>
            <w:pPr>
              <w:pStyle w:val="null3"/>
              <w:jc w:val="both"/>
            </w:pPr>
            <w:r>
              <w:rPr>
                <w:rFonts w:ascii="仿宋_GB2312" w:hAnsi="仿宋_GB2312" w:cs="仿宋_GB2312" w:eastAsia="仿宋_GB2312"/>
                <w:sz w:val="28"/>
              </w:rPr>
              <w:t>4、质保期：当年新生产或者剩余保质期不少于6个月。</w:t>
            </w:r>
          </w:p>
          <w:p>
            <w:pPr>
              <w:pStyle w:val="null3"/>
            </w:pPr>
            <w:r>
              <w:rPr>
                <w:rFonts w:ascii="仿宋_GB2312" w:hAnsi="仿宋_GB2312" w:cs="仿宋_GB2312" w:eastAsia="仿宋_GB2312"/>
                <w:sz w:val="28"/>
              </w:rPr>
              <w:t>5、本项目单价限价：2.5元/袋/100g；各供应商在单价限价的基础上自行报价。各供应商得报价不得超过单价限价，否则按无效标处理。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供货期限：2026年4月25日到2026年4月30日</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西安市鄠邑区范围内采购人指定地点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供货结束后，成交人提供收货清单等认定凭证，并经采购人验收合格后，采购人一次性付清全部合同款项</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1.验收时间：成交人提出验收申请后，采购人应及时组织验收。 2.验收标准： 2.1按照国家现行的肥料行业质量标准或规范及竞争性谈判文件、谈判响应文件的要求进行验收。 2.2验收依据：合同文本、谈判文件和谈判响应文件。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违约责任：1、供应商不能按期交货的，每逾期1日，供应商应向采购人赔付合同总价的1%作为违约金，供应商超过5日不能交货的，采购人有权从其他渠道获取，由此产生的费用由供应商承担。 2、除自然灾害及不可抗力因素外，任何一方无故终止合同或不履行合同规定的条款，违约一方应向对方承担违约责任。 解决争议的方法：双方本着友好合作的态度,对合同履行过程中发生的纠纷应及时协商解决，协商不成的，向采购人所在地有管辖权的人民法院诉讼解决。</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3.5.1谈判报价为完成本项目谈判文件中所提出的工作范围及要求的全部内容，并达到国家及采购人验收标准而产生的所有费用，包括但不限于以下内容：货物价款、人工费、包装费、仓储费、配送费、装卸费、调换费、保险费、代理服务费、利润、风险、税金等所需的全部费用，不因项目规模、政策调整等因素增减。任何错报、漏报由供应商自行负责。 3.5.2本项目所属行业：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3.5.3成交人领取成交通知书时须向代理机构提交纸质版响应文件：正本壹份、副本贰份、电子版（U盘）贰份。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参与的供应商提供的货物全部由符合政策要求的中小企业制造 。【采购标的对应的中小企业划分标准所属行业: 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货物的企业法人、其他组织或者自然人，企业法人应提供统一社会信用代码的营业执照；其他组织应提供合法证明文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供应商应授权合法的人员参加谈判全过程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法定代表人授权委托书（附法定代表人身份证复印件）及被授权委托人身份证（法定代表人参加谈判只需提供法定代表人身份证）；供应商需在项目电子化交易系统中按要求上传相应证明文件并进行电子签章。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依法缴纳税收和社会保障资金的相关材料，依法免税的供应商应具有税务部门出具的证明文件；依法不需要缴纳社会保障资金的供应商，需具有社保部门出具的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供应商具有良好的商业信誉和健全的财务会计制度</w:t>
            </w:r>
          </w:p>
        </w:tc>
        <w:tc>
          <w:tcPr>
            <w:tcW w:type="dxa" w:w="3322"/>
          </w:tcPr>
          <w:p>
            <w:pPr>
              <w:pStyle w:val="null3"/>
            </w:pPr>
            <w:r>
              <w:rPr>
                <w:rFonts w:ascii="仿宋_GB2312" w:hAnsi="仿宋_GB2312" w:cs="仿宋_GB2312" w:eastAsia="仿宋_GB2312"/>
              </w:rPr>
              <w:t>提供2024年度或2025年度的财务审计报告或谈判前3个月内供应商基本账户银行出具的资信证明；供应商需在项目电子化交易系统中按要求上传相应证明文件并进行电子签章。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供应商为中小企业或为残疾人福利性单位或为监狱企业</w:t>
            </w:r>
          </w:p>
        </w:tc>
        <w:tc>
          <w:tcPr>
            <w:tcW w:type="dxa" w:w="3322"/>
          </w:tcPr>
          <w:p>
            <w:pPr>
              <w:pStyle w:val="null3"/>
            </w:pPr>
            <w:r>
              <w:rPr>
                <w:rFonts w:ascii="仿宋_GB2312" w:hAnsi="仿宋_GB2312" w:cs="仿宋_GB2312" w:eastAsia="仿宋_GB2312"/>
              </w:rPr>
              <w:t>供应商为中小企业的，应提供《中小企业声明函》；供应商为残疾人福利性单位的，应提供《残疾人福利性单位声明函》；供应商为监狱企业的，应提供《监狱企业证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非联合体谈判</w:t>
            </w:r>
          </w:p>
        </w:tc>
        <w:tc>
          <w:tcPr>
            <w:tcW w:type="dxa" w:w="3322"/>
          </w:tcPr>
          <w:p>
            <w:pPr>
              <w:pStyle w:val="null3"/>
            </w:pPr>
            <w:r>
              <w:rPr>
                <w:rFonts w:ascii="仿宋_GB2312" w:hAnsi="仿宋_GB2312" w:cs="仿宋_GB2312" w:eastAsia="仿宋_GB2312"/>
              </w:rPr>
              <w:t>非联合体谈判声明；供应商需在项目电子化交易系统中按要求上传相应证明文件并进行电子签章。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（一）出现下列情形之一的，谈判小组应当启动异常低价投标（响应）审查程序： 1.谈判报价低于全部通过符合性审查供应商谈判报价平均值50%的，即谈判报价&lt;全部通过符合性审查供应商谈判报价平均值×50%； 2.谈判报价低于通过符合性审查的次低报价供应商谈判报价50%的，即谈判报价&lt;通过符合性审查的次低报价供应商投标（响应）报价×50%； 3.谈判报价低于采购项目最高限价45%的，即谈判报价&lt;采购项目最高限价×45%； 4.谈判小组基于专业判断，认为供应商报价过低，有可能影响产品质量或者不能诚信履约的其他情形。 （二）谈判小组启动异常低价投标审查后，属于前述第1项至第4项情形的，相关供应商在30分钟内对谈判价格作出解释，提供项目具体成本测算等与报价合理性相关的书面说明及必要的证明材料，包括但不限于原材料成本、人工成本、制造费用等。 谈判小组依据专业经验，参考同类项目中标（成交）价格、类似产品市场价格水平、行业人工费用标准、国家有关部门指导行业协会发布的行业平均成本等情况，对报价合理性进行判断。 谈判供应商不能提供书面说明、证明材料，或者提供的书面说明、证明材料不能证明其报价合理性的，谈判小组应当将其作为无效谈判处理。</w:t>
            </w:r>
          </w:p>
        </w:tc>
        <w:tc>
          <w:tcPr>
            <w:tcW w:type="dxa" w:w="1661"/>
          </w:tcPr>
          <w:p>
            <w:pPr>
              <w:pStyle w:val="null3"/>
            </w:pPr>
            <w:r>
              <w:rPr>
                <w:rFonts w:ascii="仿宋_GB2312" w:hAnsi="仿宋_GB2312" w:cs="仿宋_GB2312" w:eastAsia="仿宋_GB2312"/>
              </w:rPr>
              <w:t>响应方案说明.docx 中小企业声明函 商务应答表 承诺书.docx 报价表 资格证明文件.docx 响应文件封面 报价一览表及分项报价表.docx 产品技术参数表 残疾人福利性单位声明函 标的清单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谈判响应文件签署</w:t>
            </w:r>
          </w:p>
        </w:tc>
        <w:tc>
          <w:tcPr>
            <w:tcW w:type="dxa" w:w="3322"/>
          </w:tcPr>
          <w:p>
            <w:pPr>
              <w:pStyle w:val="null3"/>
            </w:pPr>
            <w:r>
              <w:rPr>
                <w:rFonts w:ascii="仿宋_GB2312" w:hAnsi="仿宋_GB2312" w:cs="仿宋_GB2312" w:eastAsia="仿宋_GB2312"/>
              </w:rPr>
              <w:t>响应文件按照规定格式签字、盖章;</w:t>
            </w:r>
          </w:p>
        </w:tc>
        <w:tc>
          <w:tcPr>
            <w:tcW w:type="dxa" w:w="1661"/>
          </w:tcPr>
          <w:p>
            <w:pPr>
              <w:pStyle w:val="null3"/>
            </w:pPr>
            <w:r>
              <w:rPr>
                <w:rFonts w:ascii="仿宋_GB2312" w:hAnsi="仿宋_GB2312" w:cs="仿宋_GB2312" w:eastAsia="仿宋_GB2312"/>
              </w:rPr>
              <w:t>响应方案说明.docx 中小企业声明函 商务应答表 承诺书.docx 报价表 资格证明文件.docx 响应文件封面 报价一览表及分项报价表.docx 产品技术参数表 残疾人福利性单位声明函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谈判响应有效期达到谈判文件的要求；</w:t>
            </w:r>
          </w:p>
        </w:tc>
        <w:tc>
          <w:tcPr>
            <w:tcW w:type="dxa" w:w="1661"/>
          </w:tcPr>
          <w:p>
            <w:pPr>
              <w:pStyle w:val="null3"/>
            </w:pPr>
            <w:r>
              <w:rPr>
                <w:rFonts w:ascii="仿宋_GB2312" w:hAnsi="仿宋_GB2312" w:cs="仿宋_GB2312" w:eastAsia="仿宋_GB2312"/>
              </w:rPr>
              <w:t>响应文件封面 响应方案说明.docx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供应商针对同一货物未递交两份或多份内容不同的响应文件，未出现选择性报价；</w:t>
            </w:r>
          </w:p>
        </w:tc>
        <w:tc>
          <w:tcPr>
            <w:tcW w:type="dxa" w:w="1661"/>
          </w:tcPr>
          <w:p>
            <w:pPr>
              <w:pStyle w:val="null3"/>
            </w:pPr>
            <w:r>
              <w:rPr>
                <w:rFonts w:ascii="仿宋_GB2312" w:hAnsi="仿宋_GB2312" w:cs="仿宋_GB2312" w:eastAsia="仿宋_GB2312"/>
              </w:rPr>
              <w:t>响应文件封面 报价一览表及分项报价表.docx 响应方案说明.docx 产品技术参数表 商务应答表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符合商务、技术要求</w:t>
            </w:r>
          </w:p>
        </w:tc>
        <w:tc>
          <w:tcPr>
            <w:tcW w:type="dxa" w:w="3322"/>
          </w:tcPr>
          <w:p>
            <w:pPr>
              <w:pStyle w:val="null3"/>
            </w:pPr>
            <w:r>
              <w:rPr>
                <w:rFonts w:ascii="仿宋_GB2312" w:hAnsi="仿宋_GB2312" w:cs="仿宋_GB2312" w:eastAsia="仿宋_GB2312"/>
              </w:rPr>
              <w:t>符合商务、技术要求，不得存在负偏离；</w:t>
            </w:r>
          </w:p>
        </w:tc>
        <w:tc>
          <w:tcPr>
            <w:tcW w:type="dxa" w:w="1661"/>
          </w:tcPr>
          <w:p>
            <w:pPr>
              <w:pStyle w:val="null3"/>
            </w:pPr>
            <w:r>
              <w:rPr>
                <w:rFonts w:ascii="仿宋_GB2312" w:hAnsi="仿宋_GB2312" w:cs="仿宋_GB2312" w:eastAsia="仿宋_GB2312"/>
              </w:rPr>
              <w:t>响应文件封面 产品技术参数表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响应文件未附有采购人不能接受的条件</w:t>
            </w:r>
          </w:p>
        </w:tc>
        <w:tc>
          <w:tcPr>
            <w:tcW w:type="dxa" w:w="3322"/>
          </w:tcPr>
          <w:p>
            <w:pPr>
              <w:pStyle w:val="null3"/>
            </w:pPr>
            <w:r>
              <w:rPr>
                <w:rFonts w:ascii="仿宋_GB2312" w:hAnsi="仿宋_GB2312" w:cs="仿宋_GB2312" w:eastAsia="仿宋_GB2312"/>
              </w:rPr>
              <w:t>响应文件未附有采购人不能接受的条件；</w:t>
            </w:r>
          </w:p>
        </w:tc>
        <w:tc>
          <w:tcPr>
            <w:tcW w:type="dxa" w:w="1661"/>
          </w:tcPr>
          <w:p>
            <w:pPr>
              <w:pStyle w:val="null3"/>
            </w:pPr>
            <w:r>
              <w:rPr>
                <w:rFonts w:ascii="仿宋_GB2312" w:hAnsi="仿宋_GB2312" w:cs="仿宋_GB2312" w:eastAsia="仿宋_GB2312"/>
              </w:rPr>
              <w:t>响应方案说明.docx 中小企业声明函 商务应答表 承诺书.docx 报价表 资格证明文件.docx 响应文件封面 报价一览表及分项报价表.docx 产品技术参数表 残疾人福利性单位声明函 标的清单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符合谈判文件规定的其他实质性要求</w:t>
            </w:r>
          </w:p>
        </w:tc>
        <w:tc>
          <w:tcPr>
            <w:tcW w:type="dxa" w:w="3322"/>
          </w:tcPr>
          <w:p>
            <w:pPr>
              <w:pStyle w:val="null3"/>
            </w:pPr>
            <w:r>
              <w:rPr>
                <w:rFonts w:ascii="仿宋_GB2312" w:hAnsi="仿宋_GB2312" w:cs="仿宋_GB2312" w:eastAsia="仿宋_GB2312"/>
              </w:rPr>
              <w:t>符合谈判文件规定的其他实质性要求；</w:t>
            </w:r>
          </w:p>
        </w:tc>
        <w:tc>
          <w:tcPr>
            <w:tcW w:type="dxa" w:w="1661"/>
          </w:tcPr>
          <w:p>
            <w:pPr>
              <w:pStyle w:val="null3"/>
            </w:pPr>
            <w:r>
              <w:rPr>
                <w:rFonts w:ascii="仿宋_GB2312" w:hAnsi="仿宋_GB2312" w:cs="仿宋_GB2312" w:eastAsia="仿宋_GB2312"/>
              </w:rPr>
              <w:t>响应方案说明.docx 中小企业声明函 商务应答表 承诺书.docx 报价表 资格证明文件.docx 响应文件封面 报价一览表及分项报价表.docx 产品技术参数表 残疾人福利性单位声明函 标的清单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符合《中华人民共和国政府采购法》有关规定和谈判纪律</w:t>
            </w:r>
          </w:p>
        </w:tc>
        <w:tc>
          <w:tcPr>
            <w:tcW w:type="dxa" w:w="3322"/>
          </w:tcPr>
          <w:p>
            <w:pPr>
              <w:pStyle w:val="null3"/>
            </w:pPr>
            <w:r>
              <w:rPr>
                <w:rFonts w:ascii="仿宋_GB2312" w:hAnsi="仿宋_GB2312" w:cs="仿宋_GB2312" w:eastAsia="仿宋_GB2312"/>
              </w:rPr>
              <w:t>符合《中华人民共和国政府采购法》有关规定和谈判纪律。</w:t>
            </w:r>
          </w:p>
        </w:tc>
        <w:tc>
          <w:tcPr>
            <w:tcW w:type="dxa" w:w="1661"/>
          </w:tcPr>
          <w:p>
            <w:pPr>
              <w:pStyle w:val="null3"/>
            </w:pPr>
            <w:r>
              <w:rPr>
                <w:rFonts w:ascii="仿宋_GB2312" w:hAnsi="仿宋_GB2312" w:cs="仿宋_GB2312" w:eastAsia="仿宋_GB2312"/>
              </w:rPr>
              <w:t>响应方案说明.docx 中小企业声明函 商务应答表 承诺书.docx 报价表 资格证明文件.docx 响应文件封面 报价一览表及分项报价表.docx 产品技术参数表 残疾人福利性单位声明函 标的清单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谈判小组应当从质量和服务均能满足采购文件实质性响应要求的供应商中，按照最后报价由低到高的顺序推荐。最后报价相同的，按照技术指标优劣顺序推荐。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详见附件：报价一览表及分项报价表.docx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详见附件：响应方案说明.docx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