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版本号：政采-鄠邑区-2026-0007820260417001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鄠邑区祖庵街道等4个镇街污水治理工程土地征收咨询服务项目(二次)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政采-鄠邑区-2026-00078</w:t>
      </w:r>
      <w:r>
        <w:br/>
      </w:r>
      <w:r>
        <w:br/>
      </w:r>
      <w:r>
        <w:br/>
      </w:r>
    </w:p>
    <w:p>
      <w:pPr>
        <w:pStyle w:val="null3"/>
        <w:jc w:val="center"/>
        <w:outlineLvl w:val="2"/>
      </w:pPr>
      <w:r>
        <w:rPr>
          <w:rFonts w:ascii="仿宋_GB2312" w:hAnsi="仿宋_GB2312" w:cs="仿宋_GB2312" w:eastAsia="仿宋_GB2312"/>
          <w:sz w:val="28"/>
          <w:b/>
        </w:rPr>
        <w:t>西安市鄠邑区污水管理中心</w:t>
      </w:r>
    </w:p>
    <w:p>
      <w:pPr>
        <w:pStyle w:val="null3"/>
        <w:jc w:val="center"/>
        <w:outlineLvl w:val="2"/>
      </w:pPr>
      <w:r>
        <w:rPr>
          <w:rFonts w:ascii="仿宋_GB2312" w:hAnsi="仿宋_GB2312" w:cs="仿宋_GB2312" w:eastAsia="仿宋_GB2312"/>
          <w:sz w:val="28"/>
          <w:b/>
        </w:rPr>
        <w:t>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嘉翔项目管理有限公司</w:t>
      </w:r>
      <w:r>
        <w:rPr>
          <w:rFonts w:ascii="仿宋_GB2312" w:hAnsi="仿宋_GB2312" w:cs="仿宋_GB2312" w:eastAsia="仿宋_GB2312"/>
        </w:rPr>
        <w:t>（以下简称“代理机构”）受</w:t>
      </w:r>
      <w:r>
        <w:rPr>
          <w:rFonts w:ascii="仿宋_GB2312" w:hAnsi="仿宋_GB2312" w:cs="仿宋_GB2312" w:eastAsia="仿宋_GB2312"/>
        </w:rPr>
        <w:t>西安市鄠邑区污水管理中心</w:t>
      </w:r>
      <w:r>
        <w:rPr>
          <w:rFonts w:ascii="仿宋_GB2312" w:hAnsi="仿宋_GB2312" w:cs="仿宋_GB2312" w:eastAsia="仿宋_GB2312"/>
        </w:rPr>
        <w:t>委托，拟对</w:t>
      </w:r>
      <w:r>
        <w:rPr>
          <w:rFonts w:ascii="仿宋_GB2312" w:hAnsi="仿宋_GB2312" w:cs="仿宋_GB2312" w:eastAsia="仿宋_GB2312"/>
        </w:rPr>
        <w:t>鄠邑区祖庵街道等4个镇街污水治理工程土地征收咨询服务项目(二次)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政采-鄠邑区-2026-00078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鄠邑区祖庵街道等4个镇街污水治理工程土地征收咨询服务项目(二次)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本项目对鄠邑区渭丰街办污水处理厂用地进行征收，提供土地报批手续等全流程咨询服务。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采购包1（鄠邑区祖庵街道等4个镇街污水治理工程土地征收咨询服务项目）：属于专门面向中小企业采购。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1、主体资格要求：具有独立承担民事责任能力的法人、其他组织，并出具合法有效的相关证明材料（统一社会信用代码的营业执照或有效的营业执照、税务登记证、组织机构代码证）</w:t>
      </w:r>
    </w:p>
    <w:p>
      <w:pPr>
        <w:pStyle w:val="null3"/>
      </w:pPr>
      <w:r>
        <w:rPr>
          <w:rFonts w:ascii="仿宋_GB2312" w:hAnsi="仿宋_GB2312" w:cs="仿宋_GB2312" w:eastAsia="仿宋_GB2312"/>
        </w:rPr>
        <w:t>2、资质要求：供应商具有土地规划乙级资质及以上，专业范围包含土地报批及相关服务；项目负责人需具有相关中级及以技术职称证</w:t>
      </w:r>
    </w:p>
    <w:p>
      <w:pPr>
        <w:pStyle w:val="null3"/>
      </w:pPr>
      <w:r>
        <w:rPr>
          <w:rFonts w:ascii="仿宋_GB2312" w:hAnsi="仿宋_GB2312" w:cs="仿宋_GB2312" w:eastAsia="仿宋_GB2312"/>
        </w:rPr>
        <w:t>3、财务要求：提供供应商2024年度或2025年度的财务审计报告或响应文件递交截止时间前六个月内其基本账户开户银行出具的资信证明（附基本存款账户信息）</w:t>
      </w:r>
    </w:p>
    <w:p>
      <w:pPr>
        <w:pStyle w:val="null3"/>
      </w:pPr>
      <w:r>
        <w:rPr>
          <w:rFonts w:ascii="仿宋_GB2312" w:hAnsi="仿宋_GB2312" w:cs="仿宋_GB2312" w:eastAsia="仿宋_GB2312"/>
        </w:rPr>
        <w:t>4、纳税要求：提供响应文件递交截止时间前近一年内任意一个月已缴纳完税凭证或税务机关开具的完税证明；依法免税的应提供相关文件证明</w:t>
      </w:r>
    </w:p>
    <w:p>
      <w:pPr>
        <w:pStyle w:val="null3"/>
      </w:pPr>
      <w:r>
        <w:rPr>
          <w:rFonts w:ascii="仿宋_GB2312" w:hAnsi="仿宋_GB2312" w:cs="仿宋_GB2312" w:eastAsia="仿宋_GB2312"/>
        </w:rPr>
        <w:t>5、社保要求：提供响应文件递交截止时间前近一年任意一个月已缴纳的社会保障资金缴存单据或社保机构开具的社会保险参保缴费情况证明；依法不需要缴纳社会保障资金的应提供相关文件证明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6、具备履行合同所必需的设备和专业技术能力承诺：具备履行合同所必需的设备和专业技术能力承诺</w:t>
      </w:r>
    </w:p>
    <w:p>
      <w:pPr>
        <w:pStyle w:val="null3"/>
      </w:pPr>
      <w:r>
        <w:rPr>
          <w:rFonts w:ascii="仿宋_GB2312" w:hAnsi="仿宋_GB2312" w:cs="仿宋_GB2312" w:eastAsia="仿宋_GB2312"/>
        </w:rPr>
        <w:t>7、书面声明：参加政府采购活动前3年内，在经营活动中没有重大违法记录书面声明</w:t>
      </w:r>
    </w:p>
    <w:p>
      <w:pPr>
        <w:pStyle w:val="null3"/>
      </w:pPr>
      <w:r>
        <w:rPr>
          <w:rFonts w:ascii="仿宋_GB2312" w:hAnsi="仿宋_GB2312" w:cs="仿宋_GB2312" w:eastAsia="仿宋_GB2312"/>
        </w:rPr>
        <w:t>8、信用要求：供应商不得在“信用中国”网站（www.creditchina.gov.cn）中被列入失信被执行人和重大税收违法失信主体名单，不得在“中国政府采购网”（www.ccgp.gov.cn）被列入政府采购严重违法失信行为记录名单</w:t>
      </w:r>
    </w:p>
    <w:p>
      <w:pPr>
        <w:pStyle w:val="null3"/>
      </w:pPr>
      <w:r>
        <w:rPr>
          <w:rFonts w:ascii="仿宋_GB2312" w:hAnsi="仿宋_GB2312" w:cs="仿宋_GB2312" w:eastAsia="仿宋_GB2312"/>
        </w:rPr>
        <w:t>9、参与磋商代表：供应商应授权合法的人员参加磋商全过程，其中法定代表人/负责人直接参加的，须提交法定代表人/负责人身份证明书和身份证。法定代表人/负责人授权代表参加的，须出具法定代表人/负责人授权书及授权代表身份证。</w:t>
      </w:r>
    </w:p>
    <w:p>
      <w:pPr>
        <w:pStyle w:val="null3"/>
      </w:pPr>
      <w:r>
        <w:rPr>
          <w:rFonts w:ascii="仿宋_GB2312" w:hAnsi="仿宋_GB2312" w:cs="仿宋_GB2312" w:eastAsia="仿宋_GB2312"/>
        </w:rPr>
        <w:t>10、专门面向中小企业：本项目专门面向中小微企业采购，监狱企业、残疾人福利性单位视同小微企业。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西安市鄠邑区污水管理中心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西安市鄠邑区沣京路18号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西安市鄠邑区污水管理中心经办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13649231631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西安市曲江新区雁南五路1868号1幢11903室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17795675528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采购包1：486,000.00元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代理服务费收费标准：参照“国家计委关于印发《招标代理服务费管理暂行办法的通知》（计价格[2002]1980号）”规定收费标准100%收取，服务费由中标（成交）供应商向受托人支付。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西安市鄠邑区污水管理中心</w:t>
      </w:r>
      <w:r>
        <w:rPr>
          <w:rFonts w:ascii="仿宋_GB2312" w:hAnsi="仿宋_GB2312" w:cs="仿宋_GB2312" w:eastAsia="仿宋_GB2312"/>
        </w:rPr>
        <w:t>和</w:t>
      </w:r>
      <w:r>
        <w:rPr>
          <w:rFonts w:ascii="仿宋_GB2312" w:hAnsi="仿宋_GB2312" w:cs="仿宋_GB2312" w:eastAsia="仿宋_GB2312"/>
        </w:rPr>
        <w:t>嘉翔项目管理有限公司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西安市鄠邑区污水管理中心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西安市鄠邑区污水管理中心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符合国家、行业、地方政府有关法律法规及技术规范规定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联系人：李娜</w:t>
      </w:r>
    </w:p>
    <w:p>
      <w:pPr>
        <w:pStyle w:val="null3"/>
      </w:pPr>
      <w:r>
        <w:rPr>
          <w:rFonts w:ascii="仿宋_GB2312" w:hAnsi="仿宋_GB2312" w:cs="仿宋_GB2312" w:eastAsia="仿宋_GB2312"/>
        </w:rPr>
        <w:t>联系电话：17795675528</w:t>
      </w:r>
    </w:p>
    <w:p>
      <w:pPr>
        <w:pStyle w:val="null3"/>
      </w:pPr>
      <w:r>
        <w:rPr>
          <w:rFonts w:ascii="仿宋_GB2312" w:hAnsi="仿宋_GB2312" w:cs="仿宋_GB2312" w:eastAsia="仿宋_GB2312"/>
        </w:rPr>
        <w:t>地址：西安市曲江新区雁南五路1868号1幢11903室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本项目对鄠邑区渭丰街办污水处理厂用地进行征收，提供土地报批手续等全流程咨询服务。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486,000.00</w:t>
      </w:r>
    </w:p>
    <w:p>
      <w:pPr>
        <w:pStyle w:val="null3"/>
      </w:pPr>
      <w:r>
        <w:rPr>
          <w:rFonts w:ascii="仿宋_GB2312" w:hAnsi="仿宋_GB2312" w:cs="仿宋_GB2312" w:eastAsia="仿宋_GB2312"/>
        </w:rPr>
        <w:t>采购包最高限价（元）: 486,000.00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对四个镇街污水治理项目中渭丰街办用地进行征收及手续办理</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486,000.00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标的名称：对四个镇街污水治理项目中渭丰街办用地进行征收及手续办理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b/>
              </w:rPr>
              <w:t>一、项目</w:t>
            </w:r>
            <w:r>
              <w:rPr>
                <w:rFonts w:ascii="仿宋_GB2312" w:hAnsi="仿宋_GB2312" w:cs="仿宋_GB2312" w:eastAsia="仿宋_GB2312"/>
                <w:sz w:val="28"/>
                <w:b/>
              </w:rPr>
              <w:t>概况</w:t>
            </w:r>
          </w:p>
          <w:p>
            <w:pPr>
              <w:pStyle w:val="null3"/>
              <w:ind w:firstLine="560"/>
            </w:pPr>
            <w:r>
              <w:rPr>
                <w:rFonts w:ascii="仿宋_GB2312" w:hAnsi="仿宋_GB2312" w:cs="仿宋_GB2312" w:eastAsia="仿宋_GB2312"/>
                <w:sz w:val="28"/>
              </w:rPr>
              <w:t>1.</w:t>
            </w:r>
            <w:r>
              <w:rPr>
                <w:rFonts w:ascii="仿宋_GB2312" w:hAnsi="仿宋_GB2312" w:cs="仿宋_GB2312" w:eastAsia="仿宋_GB2312"/>
                <w:sz w:val="28"/>
              </w:rPr>
              <w:t>项目名称</w:t>
            </w:r>
            <w:r>
              <w:rPr>
                <w:rFonts w:ascii="仿宋_GB2312" w:hAnsi="仿宋_GB2312" w:cs="仿宋_GB2312" w:eastAsia="仿宋_GB2312"/>
                <w:sz w:val="28"/>
              </w:rPr>
              <w:t>：鄠邑区祖庵街道等</w:t>
            </w:r>
            <w:r>
              <w:rPr>
                <w:rFonts w:ascii="仿宋_GB2312" w:hAnsi="仿宋_GB2312" w:cs="仿宋_GB2312" w:eastAsia="仿宋_GB2312"/>
                <w:sz w:val="28"/>
              </w:rPr>
              <w:t>4个镇街污水治理工程土地征收咨询服务项目。</w:t>
            </w:r>
          </w:p>
          <w:p>
            <w:pPr>
              <w:pStyle w:val="null3"/>
              <w:ind w:firstLine="560"/>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建设单位：</w:t>
            </w:r>
            <w:r>
              <w:rPr>
                <w:rFonts w:ascii="仿宋_GB2312" w:hAnsi="仿宋_GB2312" w:cs="仿宋_GB2312" w:eastAsia="仿宋_GB2312"/>
                <w:sz w:val="28"/>
              </w:rPr>
              <w:t>西安市鄠邑区污水管理中心</w:t>
            </w:r>
            <w:r>
              <w:rPr>
                <w:rFonts w:ascii="仿宋_GB2312" w:hAnsi="仿宋_GB2312" w:cs="仿宋_GB2312" w:eastAsia="仿宋_GB2312"/>
                <w:sz w:val="28"/>
              </w:rPr>
              <w:t>。</w:t>
            </w:r>
          </w:p>
          <w:p>
            <w:pPr>
              <w:pStyle w:val="null3"/>
              <w:ind w:firstLine="560"/>
            </w:pPr>
            <w:r>
              <w:rPr>
                <w:rFonts w:ascii="仿宋_GB2312" w:hAnsi="仿宋_GB2312" w:cs="仿宋_GB2312" w:eastAsia="仿宋_GB2312"/>
                <w:sz w:val="28"/>
              </w:rPr>
              <w:t>3.</w:t>
            </w:r>
            <w:r>
              <w:rPr>
                <w:rFonts w:ascii="仿宋_GB2312" w:hAnsi="仿宋_GB2312" w:cs="仿宋_GB2312" w:eastAsia="仿宋_GB2312"/>
                <w:sz w:val="28"/>
              </w:rPr>
              <w:t>拟建地点</w:t>
            </w:r>
            <w:r>
              <w:rPr>
                <w:rFonts w:ascii="仿宋_GB2312" w:hAnsi="仿宋_GB2312" w:cs="仿宋_GB2312" w:eastAsia="仿宋_GB2312"/>
                <w:sz w:val="28"/>
              </w:rPr>
              <w:t>：西安市鄠邑区。</w:t>
            </w:r>
          </w:p>
          <w:p>
            <w:pPr>
              <w:pStyle w:val="null3"/>
              <w:ind w:firstLine="560"/>
            </w:pPr>
            <w:r>
              <w:rPr>
                <w:rFonts w:ascii="仿宋_GB2312" w:hAnsi="仿宋_GB2312" w:cs="仿宋_GB2312" w:eastAsia="仿宋_GB2312"/>
                <w:sz w:val="28"/>
              </w:rPr>
              <w:t>4.项目投资：486000元。</w:t>
            </w:r>
          </w:p>
          <w:p>
            <w:pPr>
              <w:pStyle w:val="null3"/>
              <w:ind w:firstLine="560"/>
            </w:pPr>
            <w:r>
              <w:rPr>
                <w:rFonts w:ascii="仿宋_GB2312" w:hAnsi="仿宋_GB2312" w:cs="仿宋_GB2312" w:eastAsia="仿宋_GB2312"/>
                <w:sz w:val="28"/>
              </w:rPr>
              <w:t>本项目对鄠邑区渭丰街办污水处理厂用地进行征收，提供土地报批手续等全流程咨询服务。</w:t>
            </w:r>
          </w:p>
          <w:p>
            <w:pPr>
              <w:pStyle w:val="null3"/>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315"/>
              <w:ind w:left="420"/>
              <w:jc w:val="both"/>
            </w:pPr>
            <w:r>
              <w:rPr>
                <w:rFonts w:ascii="仿宋_GB2312" w:hAnsi="仿宋_GB2312" w:cs="仿宋_GB2312" w:eastAsia="仿宋_GB2312"/>
                <w:sz w:val="28"/>
                <w:b/>
              </w:rPr>
              <w:t>二、服务内容（包括工作区域、工作内容等）</w:t>
            </w:r>
          </w:p>
          <w:p>
            <w:pPr>
              <w:pStyle w:val="null3"/>
              <w:ind w:firstLine="560"/>
            </w:pPr>
            <w:r>
              <w:rPr>
                <w:rFonts w:ascii="仿宋_GB2312" w:hAnsi="仿宋_GB2312" w:cs="仿宋_GB2312" w:eastAsia="仿宋_GB2312"/>
                <w:sz w:val="28"/>
              </w:rPr>
              <w:t>1.工作区域</w:t>
            </w:r>
          </w:p>
          <w:p>
            <w:pPr>
              <w:pStyle w:val="null3"/>
              <w:ind w:firstLine="560"/>
            </w:pPr>
            <w:r>
              <w:rPr>
                <w:rFonts w:ascii="仿宋_GB2312" w:hAnsi="仿宋_GB2312" w:cs="仿宋_GB2312" w:eastAsia="仿宋_GB2312"/>
                <w:sz w:val="28"/>
              </w:rPr>
              <w:t>按照《中华人民共和国土地管理法》《建设用地审查报批管理办法》等相关法律法规及政策规定，开展渭丰污水处理厂土地报批工作，提供土地征收拆迁补偿安置储备工作方案、土地利用现状调查、航拍视频、社会稳定风险评估、补偿登记、规划图件编制、材料编制整理及组卷报批等技术服务，逐级上报省、市、区（县）自然资源主管部门审查，并取得省政府批复。</w:t>
            </w:r>
          </w:p>
          <w:p>
            <w:pPr>
              <w:pStyle w:val="null3"/>
              <w:ind w:firstLine="560"/>
            </w:pPr>
            <w:r>
              <w:rPr>
                <w:rFonts w:ascii="仿宋_GB2312" w:hAnsi="仿宋_GB2312" w:cs="仿宋_GB2312" w:eastAsia="仿宋_GB2312"/>
                <w:sz w:val="28"/>
              </w:rPr>
              <w:t>2.工作内容</w:t>
            </w:r>
          </w:p>
          <w:p>
            <w:pPr>
              <w:pStyle w:val="null3"/>
              <w:ind w:firstLine="560"/>
            </w:pPr>
            <w:r>
              <w:rPr>
                <w:rFonts w:ascii="仿宋_GB2312" w:hAnsi="仿宋_GB2312" w:cs="仿宋_GB2312" w:eastAsia="仿宋_GB2312"/>
                <w:sz w:val="28"/>
              </w:rPr>
              <w:t>（</w:t>
            </w:r>
            <w:r>
              <w:rPr>
                <w:rFonts w:ascii="仿宋_GB2312" w:hAnsi="仿宋_GB2312" w:cs="仿宋_GB2312" w:eastAsia="仿宋_GB2312"/>
                <w:sz w:val="28"/>
              </w:rPr>
              <w:t>1）土地征收拆迁补偿安置储备工作方案：根据《西安市人民政府办公厅＜关于印发规范土地征收拆迁安置储备供应工作实施办法（试行）＞的通知》（市政办发〔2023〕15号）、“多测合一”第一阶段成果以及拟征收区域基本情况，完成方案编制工作，并通过市土地储备中心备案或市政府审批。</w:t>
            </w:r>
          </w:p>
          <w:p>
            <w:pPr>
              <w:pStyle w:val="null3"/>
              <w:ind w:firstLine="560"/>
            </w:pPr>
            <w:r>
              <w:rPr>
                <w:rFonts w:ascii="仿宋_GB2312" w:hAnsi="仿宋_GB2312" w:cs="仿宋_GB2312" w:eastAsia="仿宋_GB2312"/>
                <w:sz w:val="28"/>
              </w:rPr>
              <w:t>（</w:t>
            </w:r>
            <w:r>
              <w:rPr>
                <w:rFonts w:ascii="仿宋_GB2312" w:hAnsi="仿宋_GB2312" w:cs="仿宋_GB2312" w:eastAsia="仿宋_GB2312"/>
                <w:sz w:val="28"/>
              </w:rPr>
              <w:t>2）现状调查：根据“多测合一”第一阶段成果以及现场调研统计，对拟征地范围的地上附着物、青苗类别、数目等信息进行确认，并完成制式工作表格的编制。</w:t>
            </w:r>
          </w:p>
          <w:p>
            <w:pPr>
              <w:pStyle w:val="null3"/>
              <w:ind w:firstLine="560"/>
            </w:pPr>
            <w:r>
              <w:rPr>
                <w:rFonts w:ascii="仿宋_GB2312" w:hAnsi="仿宋_GB2312" w:cs="仿宋_GB2312" w:eastAsia="仿宋_GB2312"/>
                <w:sz w:val="28"/>
              </w:rPr>
              <w:t>（</w:t>
            </w:r>
            <w:r>
              <w:rPr>
                <w:rFonts w:ascii="仿宋_GB2312" w:hAnsi="仿宋_GB2312" w:cs="仿宋_GB2312" w:eastAsia="仿宋_GB2312"/>
                <w:sz w:val="28"/>
              </w:rPr>
              <w:t>3）航拍视频：利用无人机进行正射航拍及视频录制，提供正射影像图及视频。</w:t>
            </w:r>
          </w:p>
          <w:p>
            <w:pPr>
              <w:pStyle w:val="null3"/>
              <w:ind w:firstLine="560"/>
            </w:pPr>
            <w:r>
              <w:rPr>
                <w:rFonts w:ascii="仿宋_GB2312" w:hAnsi="仿宋_GB2312" w:cs="仿宋_GB2312" w:eastAsia="仿宋_GB2312"/>
                <w:sz w:val="28"/>
              </w:rPr>
              <w:t>（</w:t>
            </w:r>
            <w:r>
              <w:rPr>
                <w:rFonts w:ascii="仿宋_GB2312" w:hAnsi="仿宋_GB2312" w:cs="仿宋_GB2312" w:eastAsia="仿宋_GB2312"/>
                <w:sz w:val="28"/>
              </w:rPr>
              <w:t>4）土地征收社会稳定风险评估：依照规定程序与要求，对拟征收土地开展社会稳定风险评估工作，编制风险评估报告，并通过专家评审，完成区（县）政法部门备案。</w:t>
            </w:r>
          </w:p>
          <w:p>
            <w:pPr>
              <w:pStyle w:val="null3"/>
              <w:ind w:firstLine="560"/>
            </w:pPr>
            <w:r>
              <w:rPr>
                <w:rFonts w:ascii="仿宋_GB2312" w:hAnsi="仿宋_GB2312" w:cs="仿宋_GB2312" w:eastAsia="仿宋_GB2312"/>
                <w:sz w:val="28"/>
              </w:rPr>
              <w:t>（</w:t>
            </w:r>
            <w:r>
              <w:rPr>
                <w:rFonts w:ascii="仿宋_GB2312" w:hAnsi="仿宋_GB2312" w:cs="仿宋_GB2312" w:eastAsia="仿宋_GB2312"/>
                <w:sz w:val="28"/>
              </w:rPr>
              <w:t>5）补偿登记：根据拆迁评估报告、土地征收补偿协议等材料，统计拟征收（土地补偿、农村村民住宅、其他地上附着物、青苗）补偿情况并形成登记表成果。</w:t>
            </w:r>
          </w:p>
          <w:p>
            <w:pPr>
              <w:pStyle w:val="null3"/>
              <w:ind w:firstLine="560"/>
            </w:pPr>
            <w:r>
              <w:rPr>
                <w:rFonts w:ascii="仿宋_GB2312" w:hAnsi="仿宋_GB2312" w:cs="仿宋_GB2312" w:eastAsia="仿宋_GB2312"/>
                <w:sz w:val="28"/>
              </w:rPr>
              <w:t>（</w:t>
            </w:r>
            <w:r>
              <w:rPr>
                <w:rFonts w:ascii="仿宋_GB2312" w:hAnsi="仿宋_GB2312" w:cs="仿宋_GB2312" w:eastAsia="仿宋_GB2312"/>
                <w:sz w:val="28"/>
              </w:rPr>
              <w:t>6）规划图件编绘：结合项目前期完成的勘界范围，按照部省市最新规划要求，完成报批所需规划图件编绘。</w:t>
            </w:r>
          </w:p>
          <w:p>
            <w:pPr>
              <w:pStyle w:val="null3"/>
            </w:pPr>
            <w:r>
              <w:rPr>
                <w:rFonts w:ascii="仿宋_GB2312" w:hAnsi="仿宋_GB2312" w:cs="仿宋_GB2312" w:eastAsia="仿宋_GB2312"/>
                <w:sz w:val="28"/>
              </w:rPr>
              <w:t>材料编制整理及组卷报批：按照省、市建设用地组卷报批相关要求，收集、编制、整理、上报建设用地报批材料。</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315"/>
              <w:ind w:left="420"/>
              <w:jc w:val="both"/>
            </w:pPr>
            <w:r>
              <w:rPr>
                <w:rFonts w:ascii="仿宋_GB2312" w:hAnsi="仿宋_GB2312" w:cs="仿宋_GB2312" w:eastAsia="仿宋_GB2312"/>
                <w:sz w:val="28"/>
                <w:b/>
              </w:rPr>
              <w:t>三、技术要求（如有，一般适合于技术服务项目）</w:t>
            </w:r>
          </w:p>
          <w:p>
            <w:pPr>
              <w:pStyle w:val="null3"/>
              <w:ind w:firstLine="560"/>
            </w:pPr>
            <w:r>
              <w:rPr>
                <w:rFonts w:ascii="仿宋_GB2312" w:hAnsi="仿宋_GB2312" w:cs="仿宋_GB2312" w:eastAsia="仿宋_GB2312"/>
                <w:sz w:val="28"/>
              </w:rPr>
              <w:t>（</w:t>
            </w:r>
            <w:r>
              <w:rPr>
                <w:rFonts w:ascii="仿宋_GB2312" w:hAnsi="仿宋_GB2312" w:cs="仿宋_GB2312" w:eastAsia="仿宋_GB2312"/>
                <w:sz w:val="28"/>
              </w:rPr>
              <w:t>1）土地征收</w:t>
            </w:r>
            <w:r>
              <w:rPr>
                <w:rFonts w:ascii="仿宋_GB2312" w:hAnsi="仿宋_GB2312" w:cs="仿宋_GB2312" w:eastAsia="仿宋_GB2312"/>
                <w:sz w:val="28"/>
              </w:rPr>
              <w:t>拆迁补偿安置</w:t>
            </w:r>
            <w:r>
              <w:rPr>
                <w:rFonts w:ascii="仿宋_GB2312" w:hAnsi="仿宋_GB2312" w:cs="仿宋_GB2312" w:eastAsia="仿宋_GB2312"/>
                <w:sz w:val="28"/>
              </w:rPr>
              <w:t>储备工作方案并通过市土地储备中心备案或市政府审批</w:t>
            </w:r>
            <w:r>
              <w:rPr>
                <w:rFonts w:ascii="仿宋_GB2312" w:hAnsi="仿宋_GB2312" w:cs="仿宋_GB2312" w:eastAsia="仿宋_GB2312"/>
                <w:sz w:val="28"/>
              </w:rPr>
              <w:t>。</w:t>
            </w:r>
          </w:p>
          <w:p>
            <w:pPr>
              <w:pStyle w:val="null3"/>
              <w:ind w:firstLine="560"/>
            </w:pPr>
            <w:r>
              <w:rPr>
                <w:rFonts w:ascii="仿宋_GB2312" w:hAnsi="仿宋_GB2312" w:cs="仿宋_GB2312" w:eastAsia="仿宋_GB2312"/>
                <w:sz w:val="28"/>
              </w:rPr>
              <w:t>（</w:t>
            </w:r>
            <w:r>
              <w:rPr>
                <w:rFonts w:ascii="仿宋_GB2312" w:hAnsi="仿宋_GB2312" w:cs="仿宋_GB2312" w:eastAsia="仿宋_GB2312"/>
                <w:sz w:val="28"/>
              </w:rPr>
              <w:t>2）土地征收社会稳定风险评估通过专</w:t>
            </w:r>
            <w:r>
              <w:rPr>
                <w:rFonts w:ascii="仿宋_GB2312" w:hAnsi="仿宋_GB2312" w:cs="仿宋_GB2312" w:eastAsia="仿宋_GB2312"/>
                <w:sz w:val="28"/>
              </w:rPr>
              <w:t>家</w:t>
            </w:r>
            <w:r>
              <w:rPr>
                <w:rFonts w:ascii="仿宋_GB2312" w:hAnsi="仿宋_GB2312" w:cs="仿宋_GB2312" w:eastAsia="仿宋_GB2312"/>
                <w:sz w:val="28"/>
              </w:rPr>
              <w:t>评审</w:t>
            </w:r>
            <w:r>
              <w:rPr>
                <w:rFonts w:ascii="仿宋_GB2312" w:hAnsi="仿宋_GB2312" w:cs="仿宋_GB2312" w:eastAsia="仿宋_GB2312"/>
                <w:sz w:val="28"/>
              </w:rPr>
              <w:t>并完成备案</w:t>
            </w:r>
            <w:r>
              <w:rPr>
                <w:rFonts w:ascii="仿宋_GB2312" w:hAnsi="仿宋_GB2312" w:cs="仿宋_GB2312" w:eastAsia="仿宋_GB2312"/>
                <w:sz w:val="28"/>
              </w:rPr>
              <w:t>。</w:t>
            </w:r>
          </w:p>
          <w:p>
            <w:pPr>
              <w:pStyle w:val="null3"/>
            </w:pPr>
            <w:r>
              <w:rPr>
                <w:rFonts w:ascii="仿宋_GB2312" w:hAnsi="仿宋_GB2312" w:cs="仿宋_GB2312" w:eastAsia="仿宋_GB2312"/>
                <w:sz w:val="28"/>
              </w:rPr>
              <w:t xml:space="preserve">    （</w:t>
            </w:r>
            <w:r>
              <w:rPr>
                <w:rFonts w:ascii="仿宋_GB2312" w:hAnsi="仿宋_GB2312" w:cs="仿宋_GB2312" w:eastAsia="仿宋_GB2312"/>
                <w:sz w:val="28"/>
              </w:rPr>
              <w:t>3）报批</w:t>
            </w:r>
            <w:r>
              <w:rPr>
                <w:rFonts w:ascii="仿宋_GB2312" w:hAnsi="仿宋_GB2312" w:cs="仿宋_GB2312" w:eastAsia="仿宋_GB2312"/>
                <w:sz w:val="28"/>
              </w:rPr>
              <w:t>资料收集</w:t>
            </w:r>
            <w:r>
              <w:rPr>
                <w:rFonts w:ascii="仿宋_GB2312" w:hAnsi="仿宋_GB2312" w:cs="仿宋_GB2312" w:eastAsia="仿宋_GB2312"/>
                <w:sz w:val="28"/>
              </w:rPr>
              <w:t>、</w:t>
            </w:r>
            <w:r>
              <w:rPr>
                <w:rFonts w:ascii="仿宋_GB2312" w:hAnsi="仿宋_GB2312" w:cs="仿宋_GB2312" w:eastAsia="仿宋_GB2312"/>
                <w:sz w:val="28"/>
              </w:rPr>
              <w:t>整理</w:t>
            </w:r>
            <w:r>
              <w:rPr>
                <w:rFonts w:ascii="仿宋_GB2312" w:hAnsi="仿宋_GB2312" w:cs="仿宋_GB2312" w:eastAsia="仿宋_GB2312"/>
                <w:sz w:val="28"/>
              </w:rPr>
              <w:t>、</w:t>
            </w:r>
            <w:r>
              <w:rPr>
                <w:rFonts w:ascii="仿宋_GB2312" w:hAnsi="仿宋_GB2312" w:cs="仿宋_GB2312" w:eastAsia="仿宋_GB2312"/>
                <w:sz w:val="28"/>
              </w:rPr>
              <w:t>编制，通过省、市资源规划部门审</w:t>
            </w:r>
            <w:r>
              <w:rPr>
                <w:rFonts w:ascii="仿宋_GB2312" w:hAnsi="仿宋_GB2312" w:cs="仿宋_GB2312" w:eastAsia="仿宋_GB2312"/>
                <w:sz w:val="28"/>
              </w:rPr>
              <w:t>查，并取得省政府批复。</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before="315"/>
              <w:ind w:left="420"/>
              <w:jc w:val="both"/>
            </w:pPr>
            <w:r>
              <w:rPr>
                <w:rFonts w:ascii="仿宋_GB2312" w:hAnsi="仿宋_GB2312" w:cs="仿宋_GB2312" w:eastAsia="仿宋_GB2312"/>
                <w:sz w:val="28"/>
                <w:b/>
              </w:rPr>
              <w:t>四、服务要求（如对人员配置、专业设备、服务标准等）</w:t>
            </w:r>
          </w:p>
          <w:p>
            <w:pPr>
              <w:pStyle w:val="null3"/>
              <w:ind w:firstLine="560"/>
            </w:pPr>
            <w:r>
              <w:rPr>
                <w:rFonts w:ascii="仿宋_GB2312" w:hAnsi="仿宋_GB2312" w:cs="仿宋_GB2312" w:eastAsia="仿宋_GB2312"/>
                <w:sz w:val="28"/>
              </w:rPr>
              <w:t>（</w:t>
            </w:r>
            <w:r>
              <w:rPr>
                <w:rFonts w:ascii="仿宋_GB2312" w:hAnsi="仿宋_GB2312" w:cs="仿宋_GB2312" w:eastAsia="仿宋_GB2312"/>
                <w:sz w:val="28"/>
              </w:rPr>
              <w:t>1）人员配置：项目负责人需具有土地相关专业中级及以上技术职称。</w:t>
            </w:r>
          </w:p>
          <w:p>
            <w:pPr>
              <w:pStyle w:val="null3"/>
              <w:ind w:firstLine="560"/>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服务标准：</w:t>
            </w:r>
            <w:r>
              <w:rPr>
                <w:rFonts w:ascii="仿宋_GB2312" w:hAnsi="仿宋_GB2312" w:cs="仿宋_GB2312" w:eastAsia="仿宋_GB2312"/>
                <w:sz w:val="28"/>
              </w:rPr>
              <w:t>符合国家、行业、地方政府有关法律法规及技术规范规定。</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spacing w:before="315"/>
              <w:ind w:left="420"/>
              <w:jc w:val="both"/>
            </w:pPr>
            <w:r>
              <w:rPr>
                <w:rFonts w:ascii="仿宋_GB2312" w:hAnsi="仿宋_GB2312" w:cs="仿宋_GB2312" w:eastAsia="仿宋_GB2312"/>
                <w:sz w:val="28"/>
                <w:b/>
              </w:rPr>
              <w:t>五、商务要求（如服务期限、款项结算等）</w:t>
            </w:r>
          </w:p>
          <w:p>
            <w:pPr>
              <w:pStyle w:val="null3"/>
              <w:ind w:firstLine="562"/>
            </w:pPr>
            <w:r>
              <w:rPr>
                <w:rFonts w:ascii="仿宋_GB2312" w:hAnsi="仿宋_GB2312" w:cs="仿宋_GB2312" w:eastAsia="仿宋_GB2312"/>
                <w:sz w:val="28"/>
                <w:b/>
              </w:rPr>
              <w:t>（一）服务期限</w:t>
            </w:r>
          </w:p>
          <w:p>
            <w:pPr>
              <w:pStyle w:val="null3"/>
              <w:ind w:firstLine="560"/>
            </w:pPr>
            <w:r>
              <w:rPr>
                <w:rFonts w:ascii="仿宋_GB2312" w:hAnsi="仿宋_GB2312" w:cs="仿宋_GB2312" w:eastAsia="仿宋_GB2312"/>
                <w:sz w:val="28"/>
              </w:rPr>
              <w:t>自合同签订之日起至取得土地报批批复文件。</w:t>
            </w:r>
          </w:p>
          <w:p>
            <w:pPr>
              <w:pStyle w:val="null3"/>
              <w:ind w:firstLine="562"/>
            </w:pPr>
            <w:r>
              <w:rPr>
                <w:rFonts w:ascii="仿宋_GB2312" w:hAnsi="仿宋_GB2312" w:cs="仿宋_GB2312" w:eastAsia="仿宋_GB2312"/>
                <w:sz w:val="28"/>
                <w:b/>
              </w:rPr>
              <w:t>（二）提交服务成果地点</w:t>
            </w:r>
          </w:p>
          <w:p>
            <w:pPr>
              <w:pStyle w:val="null3"/>
              <w:ind w:firstLine="560"/>
            </w:pPr>
            <w:r>
              <w:rPr>
                <w:rFonts w:ascii="仿宋_GB2312" w:hAnsi="仿宋_GB2312" w:cs="仿宋_GB2312" w:eastAsia="仿宋_GB2312"/>
                <w:sz w:val="28"/>
              </w:rPr>
              <w:t>西安市鄠邑区。</w:t>
            </w:r>
          </w:p>
          <w:p>
            <w:pPr>
              <w:pStyle w:val="null3"/>
              <w:ind w:firstLine="562"/>
            </w:pPr>
            <w:r>
              <w:rPr>
                <w:rFonts w:ascii="仿宋_GB2312" w:hAnsi="仿宋_GB2312" w:cs="仿宋_GB2312" w:eastAsia="仿宋_GB2312"/>
                <w:sz w:val="28"/>
                <w:b/>
              </w:rPr>
              <w:t>（三）支付方式</w:t>
            </w:r>
          </w:p>
          <w:p>
            <w:pPr>
              <w:pStyle w:val="null3"/>
              <w:ind w:firstLine="560"/>
            </w:pPr>
            <w:r>
              <w:rPr>
                <w:rFonts w:ascii="仿宋_GB2312" w:hAnsi="仿宋_GB2312" w:cs="仿宋_GB2312" w:eastAsia="仿宋_GB2312"/>
                <w:sz w:val="28"/>
              </w:rPr>
              <w:t>一次性支付。</w:t>
            </w:r>
          </w:p>
          <w:p>
            <w:pPr>
              <w:pStyle w:val="null3"/>
              <w:ind w:firstLine="562"/>
            </w:pPr>
            <w:r>
              <w:rPr>
                <w:rFonts w:ascii="仿宋_GB2312" w:hAnsi="仿宋_GB2312" w:cs="仿宋_GB2312" w:eastAsia="仿宋_GB2312"/>
                <w:sz w:val="28"/>
                <w:b/>
              </w:rPr>
              <w:t>（四）支付约定</w:t>
            </w:r>
          </w:p>
          <w:p>
            <w:pPr>
              <w:pStyle w:val="null3"/>
              <w:ind w:firstLine="560"/>
            </w:pPr>
            <w:r>
              <w:rPr>
                <w:rFonts w:ascii="仿宋_GB2312" w:hAnsi="仿宋_GB2312" w:cs="仿宋_GB2312" w:eastAsia="仿宋_GB2312"/>
                <w:sz w:val="28"/>
              </w:rPr>
              <w:t>合同签订</w:t>
            </w:r>
            <w:r>
              <w:rPr>
                <w:rFonts w:ascii="仿宋_GB2312" w:hAnsi="仿宋_GB2312" w:cs="仿宋_GB2312" w:eastAsia="仿宋_GB2312"/>
                <w:sz w:val="28"/>
              </w:rPr>
              <w:t>完成所有手续并提交归档资料后</w:t>
            </w:r>
            <w:r>
              <w:rPr>
                <w:rFonts w:ascii="仿宋_GB2312" w:hAnsi="仿宋_GB2312" w:cs="仿宋_GB2312" w:eastAsia="仿宋_GB2312"/>
                <w:sz w:val="28"/>
              </w:rPr>
              <w:t>，达到付款条件起</w:t>
            </w:r>
            <w:r>
              <w:rPr>
                <w:rFonts w:ascii="仿宋_GB2312" w:hAnsi="仿宋_GB2312" w:cs="仿宋_GB2312" w:eastAsia="仿宋_GB2312"/>
                <w:sz w:val="28"/>
              </w:rPr>
              <w:t>3</w:t>
            </w:r>
            <w:r>
              <w:rPr>
                <w:rFonts w:ascii="仿宋_GB2312" w:hAnsi="仿宋_GB2312" w:cs="仿宋_GB2312" w:eastAsia="仿宋_GB2312"/>
                <w:sz w:val="28"/>
              </w:rPr>
              <w:t>0日内，支付合同总金额的</w:t>
            </w:r>
            <w:r>
              <w:rPr>
                <w:rFonts w:ascii="仿宋_GB2312" w:hAnsi="仿宋_GB2312" w:cs="仿宋_GB2312" w:eastAsia="仿宋_GB2312"/>
                <w:sz w:val="28"/>
              </w:rPr>
              <w:t>100</w:t>
            </w:r>
            <w:r>
              <w:rPr>
                <w:rFonts w:ascii="仿宋_GB2312" w:hAnsi="仿宋_GB2312" w:cs="仿宋_GB2312" w:eastAsia="仿宋_GB2312"/>
                <w:sz w:val="28"/>
              </w:rPr>
              <w:t>.00%</w:t>
            </w:r>
            <w:r>
              <w:rPr>
                <w:rFonts w:ascii="仿宋_GB2312" w:hAnsi="仿宋_GB2312" w:cs="仿宋_GB2312" w:eastAsia="仿宋_GB2312"/>
                <w:sz w:val="28"/>
              </w:rPr>
              <w:t>。</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562"/>
            </w:pPr>
            <w:r>
              <w:rPr>
                <w:rFonts w:ascii="仿宋_GB2312" w:hAnsi="仿宋_GB2312" w:cs="仿宋_GB2312" w:eastAsia="仿宋_GB2312"/>
                <w:sz w:val="28"/>
                <w:b/>
              </w:rPr>
              <w:t>（一）质量</w:t>
            </w:r>
            <w:r>
              <w:rPr>
                <w:rFonts w:ascii="仿宋_GB2312" w:hAnsi="仿宋_GB2312" w:cs="仿宋_GB2312" w:eastAsia="仿宋_GB2312"/>
                <w:sz w:val="28"/>
                <w:b/>
              </w:rPr>
              <w:t>验收</w:t>
            </w:r>
            <w:r>
              <w:rPr>
                <w:rFonts w:ascii="仿宋_GB2312" w:hAnsi="仿宋_GB2312" w:cs="仿宋_GB2312" w:eastAsia="仿宋_GB2312"/>
                <w:sz w:val="28"/>
                <w:b/>
              </w:rPr>
              <w:t>交付</w:t>
            </w:r>
            <w:r>
              <w:rPr>
                <w:rFonts w:ascii="仿宋_GB2312" w:hAnsi="仿宋_GB2312" w:cs="仿宋_GB2312" w:eastAsia="仿宋_GB2312"/>
                <w:sz w:val="28"/>
                <w:b/>
              </w:rPr>
              <w:t>标准和方法</w:t>
            </w:r>
          </w:p>
          <w:p>
            <w:pPr>
              <w:pStyle w:val="null3"/>
              <w:ind w:firstLine="560"/>
            </w:pPr>
            <w:r>
              <w:rPr>
                <w:rFonts w:ascii="仿宋_GB2312" w:hAnsi="仿宋_GB2312" w:cs="仿宋_GB2312" w:eastAsia="仿宋_GB2312"/>
                <w:sz w:val="28"/>
              </w:rPr>
              <w:t>符合国家、行业、地方政府有关法律法规及技术规范规定。</w:t>
            </w:r>
          </w:p>
          <w:p>
            <w:pPr>
              <w:pStyle w:val="null3"/>
              <w:ind w:firstLine="562"/>
            </w:pPr>
            <w:r>
              <w:rPr>
                <w:rFonts w:ascii="仿宋_GB2312" w:hAnsi="仿宋_GB2312" w:cs="仿宋_GB2312" w:eastAsia="仿宋_GB2312"/>
                <w:sz w:val="28"/>
                <w:b/>
              </w:rPr>
              <w:t>（二）违约责任</w:t>
            </w:r>
          </w:p>
          <w:p>
            <w:pPr>
              <w:pStyle w:val="null3"/>
              <w:ind w:firstLine="560"/>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本合同履行过程中，由于一方当事人违反本合同，给另一方当事人造成损失的，另一方当事人有权获得赔偿。</w:t>
            </w:r>
          </w:p>
          <w:p>
            <w:pPr>
              <w:pStyle w:val="null3"/>
              <w:ind w:firstLine="560"/>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甲方因未履行义务，造成工作延期及相关损失由甲方负责。</w:t>
            </w:r>
          </w:p>
          <w:p>
            <w:pPr>
              <w:pStyle w:val="null3"/>
              <w:ind w:firstLine="560"/>
            </w:pP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乙方在规定的期限内未完成工作任务、未按规定的工作质量要求进行工作，应采取补救措施，返工或修改完善，直至达到本合同约定的质量要求，工期不予顺延。因此给甲方造成损失的，乙方应对直接损失负赔偿责任。</w:t>
            </w:r>
          </w:p>
          <w:p>
            <w:pPr>
              <w:pStyle w:val="null3"/>
              <w:ind w:firstLine="560"/>
            </w:pPr>
            <w:r>
              <w:rPr>
                <w:rFonts w:ascii="仿宋_GB2312" w:hAnsi="仿宋_GB2312" w:cs="仿宋_GB2312" w:eastAsia="仿宋_GB2312"/>
                <w:sz w:val="28"/>
              </w:rPr>
              <w:t>具体以签订合同为准。</w:t>
            </w:r>
          </w:p>
          <w:p>
            <w:pPr>
              <w:pStyle w:val="null3"/>
              <w:ind w:firstLine="562"/>
            </w:pPr>
            <w:r>
              <w:rPr>
                <w:rFonts w:ascii="仿宋_GB2312" w:hAnsi="仿宋_GB2312" w:cs="仿宋_GB2312" w:eastAsia="仿宋_GB2312"/>
                <w:sz w:val="28"/>
                <w:b/>
              </w:rPr>
              <w:t>（</w:t>
            </w:r>
            <w:r>
              <w:rPr>
                <w:rFonts w:ascii="仿宋_GB2312" w:hAnsi="仿宋_GB2312" w:cs="仿宋_GB2312" w:eastAsia="仿宋_GB2312"/>
                <w:sz w:val="28"/>
                <w:b/>
              </w:rPr>
              <w:t>三</w:t>
            </w:r>
            <w:r>
              <w:rPr>
                <w:rFonts w:ascii="仿宋_GB2312" w:hAnsi="仿宋_GB2312" w:cs="仿宋_GB2312" w:eastAsia="仿宋_GB2312"/>
                <w:sz w:val="28"/>
                <w:b/>
              </w:rPr>
              <w:t>）其他要求</w:t>
            </w:r>
          </w:p>
          <w:p>
            <w:pPr>
              <w:pStyle w:val="null3"/>
              <w:ind w:firstLine="560"/>
            </w:pPr>
            <w:r>
              <w:rPr>
                <w:rFonts w:ascii="仿宋_GB2312" w:hAnsi="仿宋_GB2312" w:cs="仿宋_GB2312" w:eastAsia="仿宋_GB2312"/>
                <w:sz w:val="28"/>
              </w:rPr>
              <w:t>1.根据采购人要求完成与项目有关的其他事项。</w:t>
            </w:r>
          </w:p>
          <w:p>
            <w:pPr>
              <w:pStyle w:val="null3"/>
              <w:ind w:firstLine="560"/>
            </w:pPr>
            <w:r>
              <w:rPr>
                <w:rFonts w:ascii="仿宋_GB2312" w:hAnsi="仿宋_GB2312" w:cs="仿宋_GB2312" w:eastAsia="仿宋_GB2312"/>
                <w:sz w:val="28"/>
              </w:rPr>
              <w:t>2</w:t>
            </w:r>
            <w:r>
              <w:rPr>
                <w:rFonts w:ascii="仿宋_GB2312" w:hAnsi="仿宋_GB2312" w:cs="仿宋_GB2312" w:eastAsia="仿宋_GB2312"/>
                <w:sz w:val="28"/>
              </w:rPr>
              <w:t>.报价要求：供应商在充分考虑本项目的实际工作量、技术含量、难易程度、复杂性及市场风险等因素的基础上按竞争性磋商文件中的报价格式要求填报总价，包括但不限于：咨询服务过程中产生的人工费、材料费、差旅费等所有费用、以及其他完成本竞争性磋商文件规定的义务以及供应商认为有必要计入的其他费用等全部费用，除合同约定的奖罚规定之外，采购人不因任何原因调整结算价格。</w:t>
            </w:r>
          </w:p>
          <w:p>
            <w:pPr>
              <w:pStyle w:val="null3"/>
            </w:pPr>
            <w:r>
              <w:rPr>
                <w:rFonts w:ascii="仿宋_GB2312" w:hAnsi="仿宋_GB2312" w:cs="仿宋_GB2312" w:eastAsia="仿宋_GB2312"/>
                <w:sz w:val="28"/>
              </w:rPr>
              <w:t>3</w:t>
            </w:r>
            <w:r>
              <w:rPr>
                <w:rFonts w:ascii="仿宋_GB2312" w:hAnsi="仿宋_GB2312" w:cs="仿宋_GB2312" w:eastAsia="仿宋_GB2312"/>
                <w:sz w:val="28"/>
              </w:rPr>
              <w:t>.知识产权：采购人在中华人民共和国境内使用成交人提供的服务时免受第三方提出的侵犯其专利权或其他知识产权的起诉。如果第三方提出侵权指控，成交人应承担由此而引起的一切法律责任和费用。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项目负责人需具有土地相关专业中级及以上技术职称</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服务标准：服务标准：符合国家、行业、地方政府有关法律法规及技术规范规定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自合同签订之日起至取得土地报批批复文件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西安市鄠邑区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符合国家、行业、地方政府有关法律法规及技术规范规定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合同签订完成所有手续并提交归档资料后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1.本合同履行过程中，由于一方当事人违反本合同，给另一方当事人造成损失的，另一方当事人有权获得赔偿。 2.甲方因未履行义务，造成工作延期及相关损失由甲方负责。 3.乙方在规定的期限内未完成工作任务、未按规定的工作质量要求进行工作，应采取补救措施，返工或修改完善，直至达到本合同约定的质量要求，工期不予顺延。因此给甲方造成损失的，乙方应对直接损失负赔偿责任。 具体以签订合同为准。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成交供应商在结果公示结束后3个工作日内向代理机构后提交3份纸质版响应文件。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响应文件（格式）二次.docx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主体资格要求</w:t>
            </w:r>
          </w:p>
        </w:tc>
        <w:tc>
          <w:tcPr>
            <w:tcW w:type="dxa" w:w="3322"/>
          </w:tcPr>
          <w:p>
            <w:pPr>
              <w:pStyle w:val="null3"/>
            </w:pPr>
            <w:r>
              <w:rPr>
                <w:rFonts w:ascii="仿宋_GB2312" w:hAnsi="仿宋_GB2312" w:cs="仿宋_GB2312" w:eastAsia="仿宋_GB2312"/>
              </w:rPr>
              <w:t>具有独立承担民事责任能力的法人、其他组织，并出具合法有效的相关证明材料（统一社会信用代码的营业执照或有效的营业执照、税务登记证、组织机构代码证）</w:t>
            </w:r>
          </w:p>
        </w:tc>
        <w:tc>
          <w:tcPr>
            <w:tcW w:type="dxa" w:w="1661"/>
          </w:tcPr>
          <w:p>
            <w:pPr>
              <w:pStyle w:val="null3"/>
            </w:pPr>
            <w:r>
              <w:rPr>
                <w:rFonts w:ascii="仿宋_GB2312" w:hAnsi="仿宋_GB2312" w:cs="仿宋_GB2312" w:eastAsia="仿宋_GB2312"/>
              </w:rPr>
              <w:t>响应文件（格式）二次.docx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供应商具有土地规划乙级资质及以上，专业范围包含土地报批及相关服务；项目负责人需具有相关中级及以技术职称证</w:t>
            </w:r>
          </w:p>
        </w:tc>
        <w:tc>
          <w:tcPr>
            <w:tcW w:type="dxa" w:w="1661"/>
          </w:tcPr>
          <w:p>
            <w:pPr>
              <w:pStyle w:val="null3"/>
            </w:pPr>
            <w:r>
              <w:rPr>
                <w:rFonts w:ascii="仿宋_GB2312" w:hAnsi="仿宋_GB2312" w:cs="仿宋_GB2312" w:eastAsia="仿宋_GB2312"/>
              </w:rPr>
              <w:t>响应文件（格式）二次.docx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财务要求</w:t>
            </w:r>
          </w:p>
        </w:tc>
        <w:tc>
          <w:tcPr>
            <w:tcW w:type="dxa" w:w="3322"/>
          </w:tcPr>
          <w:p>
            <w:pPr>
              <w:pStyle w:val="null3"/>
            </w:pPr>
            <w:r>
              <w:rPr>
                <w:rFonts w:ascii="仿宋_GB2312" w:hAnsi="仿宋_GB2312" w:cs="仿宋_GB2312" w:eastAsia="仿宋_GB2312"/>
              </w:rPr>
              <w:t>提供供应商2024年度或2025年度的财务审计报告或响应文件递交截止时间前六个月内其基本账户开户银行出具的资信证明（附基本存款账户信息）</w:t>
            </w:r>
          </w:p>
        </w:tc>
        <w:tc>
          <w:tcPr>
            <w:tcW w:type="dxa" w:w="1661"/>
          </w:tcPr>
          <w:p>
            <w:pPr>
              <w:pStyle w:val="null3"/>
            </w:pPr>
            <w:r>
              <w:rPr>
                <w:rFonts w:ascii="仿宋_GB2312" w:hAnsi="仿宋_GB2312" w:cs="仿宋_GB2312" w:eastAsia="仿宋_GB2312"/>
              </w:rPr>
              <w:t>响应文件（格式）二次.docx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纳税要求</w:t>
            </w:r>
          </w:p>
        </w:tc>
        <w:tc>
          <w:tcPr>
            <w:tcW w:type="dxa" w:w="3322"/>
          </w:tcPr>
          <w:p>
            <w:pPr>
              <w:pStyle w:val="null3"/>
            </w:pPr>
            <w:r>
              <w:rPr>
                <w:rFonts w:ascii="仿宋_GB2312" w:hAnsi="仿宋_GB2312" w:cs="仿宋_GB2312" w:eastAsia="仿宋_GB2312"/>
              </w:rPr>
              <w:t>提供响应文件递交截止时间前近一年内任意一个月已缴纳完税凭证或税务机关开具的完税证明；依法免税的应提供相关文件证明</w:t>
            </w:r>
          </w:p>
        </w:tc>
        <w:tc>
          <w:tcPr>
            <w:tcW w:type="dxa" w:w="1661"/>
          </w:tcPr>
          <w:p>
            <w:pPr>
              <w:pStyle w:val="null3"/>
            </w:pPr>
            <w:r>
              <w:rPr>
                <w:rFonts w:ascii="仿宋_GB2312" w:hAnsi="仿宋_GB2312" w:cs="仿宋_GB2312" w:eastAsia="仿宋_GB2312"/>
              </w:rPr>
              <w:t>响应文件（格式）二次.docx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社保要求</w:t>
            </w:r>
          </w:p>
        </w:tc>
        <w:tc>
          <w:tcPr>
            <w:tcW w:type="dxa" w:w="3322"/>
          </w:tcPr>
          <w:p>
            <w:pPr>
              <w:pStyle w:val="null3"/>
            </w:pPr>
            <w:r>
              <w:rPr>
                <w:rFonts w:ascii="仿宋_GB2312" w:hAnsi="仿宋_GB2312" w:cs="仿宋_GB2312" w:eastAsia="仿宋_GB2312"/>
              </w:rPr>
              <w:t>提供响应文件递交截止时间前近一年任意一个月已缴纳的社会保障资金缴存单据或社保机构开具的社会保险参保缴费情况证明；依法不需要缴纳社会保障资金的应提供相关文件证明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响应文件（格式）二次.docx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具备履行合同所必需的设备和专业技术能力承诺</w:t>
            </w:r>
          </w:p>
        </w:tc>
        <w:tc>
          <w:tcPr>
            <w:tcW w:type="dxa" w:w="3322"/>
          </w:tcPr>
          <w:p>
            <w:pPr>
              <w:pStyle w:val="null3"/>
            </w:pPr>
            <w:r>
              <w:rPr>
                <w:rFonts w:ascii="仿宋_GB2312" w:hAnsi="仿宋_GB2312" w:cs="仿宋_GB2312" w:eastAsia="仿宋_GB2312"/>
              </w:rPr>
              <w:t>具备履行合同所必需的设备和专业技术能力承诺</w:t>
            </w:r>
          </w:p>
        </w:tc>
        <w:tc>
          <w:tcPr>
            <w:tcW w:type="dxa" w:w="1661"/>
          </w:tcPr>
          <w:p>
            <w:pPr>
              <w:pStyle w:val="null3"/>
            </w:pPr>
            <w:r>
              <w:rPr>
                <w:rFonts w:ascii="仿宋_GB2312" w:hAnsi="仿宋_GB2312" w:cs="仿宋_GB2312" w:eastAsia="仿宋_GB2312"/>
              </w:rPr>
              <w:t>响应文件（格式）二次.docx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参加政府采购活动前3年内，在经营活动中没有重大违法记录书面声明</w:t>
            </w:r>
          </w:p>
        </w:tc>
        <w:tc>
          <w:tcPr>
            <w:tcW w:type="dxa" w:w="1661"/>
          </w:tcPr>
          <w:p>
            <w:pPr>
              <w:pStyle w:val="null3"/>
            </w:pPr>
            <w:r>
              <w:rPr>
                <w:rFonts w:ascii="仿宋_GB2312" w:hAnsi="仿宋_GB2312" w:cs="仿宋_GB2312" w:eastAsia="仿宋_GB2312"/>
              </w:rPr>
              <w:t>响应文件（格式）二次.docx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供应商不得在“信用中国”网站（www.creditchina.gov.cn）中被列入失信被执行人和重大税收违法失信主体名单，不得在“中国政府采购网”（www.ccgp.gov.cn）被列入政府采购严重违法失信行为记录名单</w:t>
            </w:r>
          </w:p>
        </w:tc>
        <w:tc>
          <w:tcPr>
            <w:tcW w:type="dxa" w:w="1661"/>
          </w:tcPr>
          <w:p>
            <w:pPr>
              <w:pStyle w:val="null3"/>
            </w:pPr>
            <w:r>
              <w:rPr>
                <w:rFonts w:ascii="仿宋_GB2312" w:hAnsi="仿宋_GB2312" w:cs="仿宋_GB2312" w:eastAsia="仿宋_GB2312"/>
              </w:rPr>
              <w:t>响应文件（格式）二次.docx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参与磋商代表</w:t>
            </w:r>
          </w:p>
        </w:tc>
        <w:tc>
          <w:tcPr>
            <w:tcW w:type="dxa" w:w="3322"/>
          </w:tcPr>
          <w:p>
            <w:pPr>
              <w:pStyle w:val="null3"/>
            </w:pPr>
            <w:r>
              <w:rPr>
                <w:rFonts w:ascii="仿宋_GB2312" w:hAnsi="仿宋_GB2312" w:cs="仿宋_GB2312" w:eastAsia="仿宋_GB2312"/>
              </w:rPr>
              <w:t>供应商应授权合法的人员参加磋商全过程，其中法定代表人/负责人直接参加的，须提交法定代表人/负责人身份证明书和身份证。法定代表人/负责人授权代表参加的，须出具法定代表人/负责人授权书及授权代表身份证。</w:t>
            </w:r>
          </w:p>
        </w:tc>
        <w:tc>
          <w:tcPr>
            <w:tcW w:type="dxa" w:w="1661"/>
          </w:tcPr>
          <w:p>
            <w:pPr>
              <w:pStyle w:val="null3"/>
            </w:pPr>
            <w:r>
              <w:rPr>
                <w:rFonts w:ascii="仿宋_GB2312" w:hAnsi="仿宋_GB2312" w:cs="仿宋_GB2312" w:eastAsia="仿宋_GB2312"/>
              </w:rPr>
              <w:t>响应文件（格式）二次.docx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专门面向中小企业</w:t>
            </w:r>
          </w:p>
        </w:tc>
        <w:tc>
          <w:tcPr>
            <w:tcW w:type="dxa" w:w="3322"/>
          </w:tcPr>
          <w:p>
            <w:pPr>
              <w:pStyle w:val="null3"/>
            </w:pPr>
            <w:r>
              <w:rPr>
                <w:rFonts w:ascii="仿宋_GB2312" w:hAnsi="仿宋_GB2312" w:cs="仿宋_GB2312" w:eastAsia="仿宋_GB2312"/>
              </w:rPr>
              <w:t>本项目专门面向中小微企业采购，监狱企业、残疾人福利性单位视同小微企业。</w:t>
            </w:r>
          </w:p>
        </w:tc>
        <w:tc>
          <w:tcPr>
            <w:tcW w:type="dxa" w:w="1661"/>
          </w:tcPr>
          <w:p>
            <w:pPr>
              <w:pStyle w:val="null3"/>
            </w:pPr>
            <w:r>
              <w:rPr>
                <w:rFonts w:ascii="仿宋_GB2312" w:hAnsi="仿宋_GB2312" w:cs="仿宋_GB2312" w:eastAsia="仿宋_GB2312"/>
              </w:rPr>
              <w:t>响应文件（格式）二次.docx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响应文件的完整性审查</w:t>
            </w:r>
          </w:p>
        </w:tc>
        <w:tc>
          <w:tcPr>
            <w:tcW w:type="dxa" w:w="3322"/>
          </w:tcPr>
          <w:p>
            <w:pPr>
              <w:pStyle w:val="null3"/>
            </w:pPr>
            <w:r>
              <w:rPr>
                <w:rFonts w:ascii="仿宋_GB2312" w:hAnsi="仿宋_GB2312" w:cs="仿宋_GB2312" w:eastAsia="仿宋_GB2312"/>
              </w:rPr>
              <w:t>响应文件是否按照磋商文件要求的格式编写。</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响应文件的有效性审查</w:t>
            </w:r>
          </w:p>
        </w:tc>
        <w:tc>
          <w:tcPr>
            <w:tcW w:type="dxa" w:w="3322"/>
          </w:tcPr>
          <w:p>
            <w:pPr>
              <w:pStyle w:val="null3"/>
            </w:pPr>
            <w:r>
              <w:rPr>
                <w:rFonts w:ascii="仿宋_GB2312" w:hAnsi="仿宋_GB2312" w:cs="仿宋_GB2312" w:eastAsia="仿宋_GB2312"/>
              </w:rPr>
              <w:t>响应文件的签署、加盖印章是否有效。</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响应文件的响应性审查</w:t>
            </w:r>
          </w:p>
        </w:tc>
        <w:tc>
          <w:tcPr>
            <w:tcW w:type="dxa" w:w="3322"/>
          </w:tcPr>
          <w:p>
            <w:pPr>
              <w:pStyle w:val="null3"/>
            </w:pPr>
            <w:r>
              <w:rPr>
                <w:rFonts w:ascii="仿宋_GB2312" w:hAnsi="仿宋_GB2312" w:cs="仿宋_GB2312" w:eastAsia="仿宋_GB2312"/>
              </w:rPr>
              <w:t>报价是否超过采购预算（或最高限价）；投标有效期是否符合采购文件的要求；是否满足采购文件的实质性要求。</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提供针对本项目的项目实施方案，内容至少包括:①项目需求分析；②项目背景分析；③技术标准；④项目内容；⑤工作开展技术方案。 评审标准：项目解读各部分内容全面详细、阐述条理清晰详尽、符合本项目采购需求得 15分，每缺一项内容扣3分，每有一项内容存在缺陷的扣1分，扣完为止。 备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响应文件（格式）二次.docx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①项目负责人具有土地相关专业高级职称的得5分，中级职称的得3分。 ②项目组成员(不含项目负责人)，具有中级及以上技术职称的，每人得3分，最高得6分。 ③项目组成员(不含项目负责人)，具有本科及以上学历的，每人得2分，最高得4分。 备注：需提供相应的证明资料（加盖单位公章），不提供的不计分。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响应文件（格式）二次.docx</w:t>
            </w:r>
          </w:p>
        </w:tc>
      </w:tr>
      <w:tr>
        <w:tc>
          <w:tcPr>
            <w:tcW w:type="dxa" w:w="831"/>
            <w:vMerge/>
          </w:tcPr>
          <w:p/>
        </w:tc>
        <w:tc>
          <w:tcPr>
            <w:tcW w:type="dxa" w:w="1661"/>
          </w:tcPr>
          <w:p>
            <w:pPr>
              <w:pStyle w:val="null3"/>
            </w:pPr>
            <w:r>
              <w:rPr>
                <w:rFonts w:ascii="仿宋_GB2312" w:hAnsi="仿宋_GB2312" w:cs="仿宋_GB2312" w:eastAsia="仿宋_GB2312"/>
              </w:rPr>
              <w:t>项目服务团队配备及制度</w:t>
            </w:r>
          </w:p>
        </w:tc>
        <w:tc>
          <w:tcPr>
            <w:tcW w:type="dxa" w:w="2492"/>
          </w:tcPr>
          <w:p>
            <w:pPr>
              <w:pStyle w:val="null3"/>
            </w:pPr>
            <w:r>
              <w:rPr>
                <w:rFonts w:ascii="仿宋_GB2312" w:hAnsi="仿宋_GB2312" w:cs="仿宋_GB2312" w:eastAsia="仿宋_GB2312"/>
              </w:rPr>
              <w:t>项目团队配置， 内容至少包括：①团队人员配置明细；②团队人员职能分工及职责划分方案；③团队人员管理制度。 评审标准：团队机构设置合理、团队人员职责划分明确、团队配置满足项目情况及需要，人员专业能力能有效保障项目服务质量。 内容描述详细，架构清晰的得9 分，评审内容每缺一项扣3分，每有一项内容存在缺陷的扣1分，扣完为止。 备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响应文件（格式）二次.docx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供应商针对本项目提供完整重难分析及预防解决措施， 内容化至少包括：①针对本项目的重难点分析；②针对重难点分析后的预防及解决措施等内容。 评审标准： 内容全面详细、阐述条理清晰详尽、符合本项目采购需求，得 6分；每缺一项扣 3 分，每有一项内容存在缺陷的扣1分，扣完为止。 备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响应文件（格式）二次.docx</w:t>
            </w:r>
          </w:p>
        </w:tc>
      </w:tr>
      <w:tr>
        <w:tc>
          <w:tcPr>
            <w:tcW w:type="dxa" w:w="831"/>
            <w:vMerge/>
          </w:tcPr>
          <w:p/>
        </w:tc>
        <w:tc>
          <w:tcPr>
            <w:tcW w:type="dxa" w:w="1661"/>
          </w:tcPr>
          <w:p>
            <w:pPr>
              <w:pStyle w:val="null3"/>
            </w:pPr>
            <w:r>
              <w:rPr>
                <w:rFonts w:ascii="仿宋_GB2312" w:hAnsi="仿宋_GB2312" w:cs="仿宋_GB2312" w:eastAsia="仿宋_GB2312"/>
              </w:rPr>
              <w:t>进度保证 措施</w:t>
            </w:r>
          </w:p>
        </w:tc>
        <w:tc>
          <w:tcPr>
            <w:tcW w:type="dxa" w:w="2492"/>
          </w:tcPr>
          <w:p>
            <w:pPr>
              <w:pStyle w:val="null3"/>
            </w:pPr>
            <w:r>
              <w:rPr>
                <w:rFonts w:ascii="仿宋_GB2312" w:hAnsi="仿宋_GB2312" w:cs="仿宋_GB2312" w:eastAsia="仿宋_GB2312"/>
              </w:rPr>
              <w:t>供应商针对本项目提供完整的进度保证措施， 内容至少包括：①项目实施进度目标分析；②项目进度保障措施；③突发情况的应急方案等。 评审标准： 内容全面详细、阐述条理清晰详尽、符合本项目采购需求，得 9 分 ；每缺一项扣 3 分，每有一项内容存在缺陷的扣1分，扣完为止。 备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响应文件（格式）二次.docx</w:t>
            </w:r>
          </w:p>
        </w:tc>
      </w:tr>
      <w:tr>
        <w:tc>
          <w:tcPr>
            <w:tcW w:type="dxa" w:w="831"/>
            <w:vMerge/>
          </w:tcPr>
          <w:p/>
        </w:tc>
        <w:tc>
          <w:tcPr>
            <w:tcW w:type="dxa" w:w="1661"/>
          </w:tcPr>
          <w:p>
            <w:pPr>
              <w:pStyle w:val="null3"/>
            </w:pPr>
            <w:r>
              <w:rPr>
                <w:rFonts w:ascii="仿宋_GB2312" w:hAnsi="仿宋_GB2312" w:cs="仿宋_GB2312" w:eastAsia="仿宋_GB2312"/>
              </w:rPr>
              <w:t>质量保证 措施</w:t>
            </w:r>
          </w:p>
        </w:tc>
        <w:tc>
          <w:tcPr>
            <w:tcW w:type="dxa" w:w="2492"/>
          </w:tcPr>
          <w:p>
            <w:pPr>
              <w:pStyle w:val="null3"/>
            </w:pPr>
            <w:r>
              <w:rPr>
                <w:rFonts w:ascii="仿宋_GB2312" w:hAnsi="仿宋_GB2312" w:cs="仿宋_GB2312" w:eastAsia="仿宋_GB2312"/>
              </w:rPr>
              <w:t>供应商针对本项目提供完整的质量保证措施， 内容至少包括：①质量保证体系及质量目标；②质量过程控制；③成果质量保证措施等。 评审标准： 内容全面详细、阐述条理清晰详尽、符合本项目采购需求，得 9 分 ；每缺一项扣 3 分，每有一项内容存在缺陷的扣1分，扣完为止。 备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响应文件（格式）二次.docx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供应商根据本项目特点编制保密措施方案，有相应的保障细则， 内容包含：①保密承诺事项；②保密实施方案；③保密工作规则要求等。 评审标准： 内容全面详细、阐述条理清晰详尽、符合本项目采购需求，得 9 分 ；每缺一项扣 3 分，每有一项内容存在缺陷的扣1分，扣完为止。 备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响应文件（格式）二次.docx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 2023年3月 1 日至今类似业绩，提供一个计2分，本项最多得 10分。未提供不得分。 注：业绩证明资料以合同或中标（成交）通知书为准。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响应文件（格式）二次.docx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对能够完成本项目工作的服务承诺，包括不限于①对本项目进度、时限、成果文件质量等做出承诺；②对服务时限内团队稳定性、人员到位情况等相关内容做出承诺；③服务质量承诺；④数据准确性承诺。 评审标准： 内容全面详细、阐述条理清晰详尽、符合本项目采购需求，得 8分；每缺一项扣 2分，每有一项内容存在缺陷的扣1分，扣完为止。 备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响应文件（格式）二次.docx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1.经初审合格的响应文件，其最终磋商报价为有效报价，并进行价格评审。 2.满足磋商文件实质性要求且最终报价最低的供应商的价格为评标基准价，其价格分为满分10分。 3.报价得分=（评标基准价/投标报价）×10的公式计算得分。 4.报价不完整的，不进入评标基准价的计算，本项得0分。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详见附件：响应文件（格式）二次.docx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