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版本号：FYZB-XA-2026-004（CS）20260420001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资规局办公场所水电改造项目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FYZB-XA-2026-004（CS）</w:t>
      </w:r>
      <w:r>
        <w:br/>
      </w:r>
      <w:r>
        <w:br/>
      </w:r>
      <w:r>
        <w:br/>
      </w:r>
    </w:p>
    <w:p>
      <w:pPr>
        <w:pStyle w:val="null3"/>
        <w:jc w:val="center"/>
        <w:outlineLvl w:val="2"/>
      </w:pPr>
      <w:r>
        <w:rPr>
          <w:rFonts w:ascii="仿宋_GB2312" w:hAnsi="仿宋_GB2312" w:cs="仿宋_GB2312" w:eastAsia="仿宋_GB2312"/>
          <w:sz w:val="28"/>
          <w:b/>
        </w:rPr>
        <w:t>西安市鄠邑区机关事务服务中心</w:t>
      </w:r>
    </w:p>
    <w:p>
      <w:pPr>
        <w:pStyle w:val="null3"/>
        <w:jc w:val="center"/>
        <w:outlineLvl w:val="2"/>
      </w:pPr>
      <w:r>
        <w:rPr>
          <w:rFonts w:ascii="仿宋_GB2312" w:hAnsi="仿宋_GB2312" w:cs="仿宋_GB2312" w:eastAsia="仿宋_GB2312"/>
          <w:sz w:val="28"/>
          <w:b/>
        </w:rPr>
        <w:t>沣禹项目管理咨询有限公司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沣禹项目管理咨询有限公司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西安市鄠邑区机关事务服务中心</w:t>
      </w:r>
      <w:r>
        <w:rPr>
          <w:rFonts w:ascii="仿宋_GB2312" w:hAnsi="仿宋_GB2312" w:cs="仿宋_GB2312" w:eastAsia="仿宋_GB2312"/>
        </w:rPr>
        <w:t>委托，拟对</w:t>
      </w:r>
      <w:r>
        <w:rPr>
          <w:rFonts w:ascii="仿宋_GB2312" w:hAnsi="仿宋_GB2312" w:cs="仿宋_GB2312" w:eastAsia="仿宋_GB2312"/>
        </w:rPr>
        <w:t>资规局办公场所水电改造项目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FYZB-XA-2026-004（CS）</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资规局办公场所水电改造项目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办公室、厨房及卫生间修缮改造，给排水、强电、弱电、监控线路改造档案室加固等，详见图纸，图纸答疑文件，工程量清单等。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采购包1（资规局办公场所水电改造项目）：属于专门面向中小企业采购。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或法定代表人身份证明：法定代表人授权书（附法定代表人、被授权人身份证复印件）及被授权人身份证复印件（法定代表人直接参加的，须提供法定代表人身份证明及身份证复印件）；非法人单位参照执行；</w:t>
      </w:r>
    </w:p>
    <w:p>
      <w:pPr>
        <w:pStyle w:val="null3"/>
      </w:pPr>
      <w:r>
        <w:rPr>
          <w:rFonts w:ascii="仿宋_GB2312" w:hAnsi="仿宋_GB2312" w:cs="仿宋_GB2312" w:eastAsia="仿宋_GB2312"/>
        </w:rPr>
        <w:t>2、信用查询：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3、企业资质：供应商须具备建设行政主管部门颁发的建筑工程施工总承包三级及以上资质，且具备合格有效的安全生产许可证；</w:t>
      </w:r>
    </w:p>
    <w:p>
      <w:pPr>
        <w:pStyle w:val="null3"/>
      </w:pPr>
      <w:r>
        <w:rPr>
          <w:rFonts w:ascii="仿宋_GB2312" w:hAnsi="仿宋_GB2312" w:cs="仿宋_GB2312" w:eastAsia="仿宋_GB2312"/>
        </w:rPr>
        <w:t>4、项目经理要求：拟派项目经理具备建筑工程二级及以上注册建造师证、安全生产考核合格证（建安B证）、无在建工程承诺书（复印件加盖公章）；</w:t>
      </w:r>
    </w:p>
    <w:p>
      <w:pPr>
        <w:pStyle w:val="null3"/>
      </w:pPr>
      <w:r>
        <w:rPr>
          <w:rFonts w:ascii="仿宋_GB2312" w:hAnsi="仿宋_GB2312" w:cs="仿宋_GB2312" w:eastAsia="仿宋_GB2312"/>
        </w:rPr>
        <w:t>5、供应商及项目经理资质查询：供应商及项目经理基本信息在“陕西省住房和城乡建设厅”和“全国建筑市场监管公共服务平台”（http://jzsc.mohurd.gov.cn/home）可查询；</w:t>
      </w:r>
    </w:p>
    <w:p>
      <w:pPr>
        <w:pStyle w:val="null3"/>
      </w:pPr>
      <w:r>
        <w:rPr>
          <w:rFonts w:ascii="仿宋_GB2312" w:hAnsi="仿宋_GB2312" w:cs="仿宋_GB2312" w:eastAsia="仿宋_GB2312"/>
        </w:rPr>
        <w:t>6、有效的主体证明：具有独立承担民事责任能力的法人、其他组织或自然人，并出具合法有效的营业执照或事业单位法人证书等国家规定的相关证明，自然人参与的提供其身份证明书；</w:t>
      </w:r>
    </w:p>
    <w:p>
      <w:pPr>
        <w:pStyle w:val="null3"/>
      </w:pPr>
      <w:r>
        <w:rPr>
          <w:rFonts w:ascii="仿宋_GB2312" w:hAnsi="仿宋_GB2312" w:cs="仿宋_GB2312" w:eastAsia="仿宋_GB2312"/>
        </w:rPr>
        <w:t>7、税收缴纳证明：提交响应文件截止时间前6个月内至少一个月的纳税证明或完税证明(增值税、营业税、企业所得税至少提供一种)，纳税证明或完税证明上应有代收机构或税务机关的公章或业务专用章，(依法免税的供应商应提供相应文件证明)；</w:t>
      </w:r>
    </w:p>
    <w:p>
      <w:pPr>
        <w:pStyle w:val="null3"/>
      </w:pPr>
      <w:r>
        <w:rPr>
          <w:rFonts w:ascii="仿宋_GB2312" w:hAnsi="仿宋_GB2312" w:cs="仿宋_GB2312" w:eastAsia="仿宋_GB2312"/>
        </w:rPr>
        <w:t>8、社会保障资金缴纳证明：提供投标截止日前6个月内已缴存的至少一个月的社会保障资金缴存单据或社保机构开具的社会保险参保缴费情况证明，依法不需要缴纳社会保障资金的单位应提供相关证明材料；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9、财务状况报告：关于财务会计制度的证明材料：提供2024年或2025年度经审计的财务报告（注：依据财政部、国务院国资委、金融监管总局印发《关于加强审计报告查验工作的通知》(财会(2023〕15号)报告须在注册会计师行业统一监管平台备案并由该平台赋予二维码））或提交响应文件截止时间三个月内其基本账户开户银行出具的资信证明或财政部门认可的政府采购专业担保机构出具的投标担保函(以上三种形式的资料提供任何一种即可)；</w:t>
      </w:r>
    </w:p>
    <w:p>
      <w:pPr>
        <w:pStyle w:val="null3"/>
      </w:pPr>
      <w:r>
        <w:rPr>
          <w:rFonts w:ascii="仿宋_GB2312" w:hAnsi="仿宋_GB2312" w:cs="仿宋_GB2312" w:eastAsia="仿宋_GB2312"/>
        </w:rPr>
        <w:t>10、重大违法记录书面声明：参加政府采购活动前3年内，在经营活动中没有重大违法记录（提供书面声明）；</w:t>
      </w:r>
    </w:p>
    <w:p>
      <w:pPr>
        <w:pStyle w:val="null3"/>
      </w:pPr>
      <w:r>
        <w:rPr>
          <w:rFonts w:ascii="仿宋_GB2312" w:hAnsi="仿宋_GB2312" w:cs="仿宋_GB2312" w:eastAsia="仿宋_GB2312"/>
        </w:rPr>
        <w:t>11、履行专业技术能力：提供具有履行本合同所必需的设备和专业技术能力的承诺（提供承诺书）；</w:t>
      </w:r>
    </w:p>
    <w:p>
      <w:pPr>
        <w:pStyle w:val="null3"/>
      </w:pPr>
      <w:r>
        <w:rPr>
          <w:rFonts w:ascii="仿宋_GB2312" w:hAnsi="仿宋_GB2312" w:cs="仿宋_GB2312" w:eastAsia="仿宋_GB2312"/>
        </w:rPr>
        <w:t>12、关联关系：单位负责人为同一人或者存在直接控股、管理关系的不同供应商，不得参加同一合同项下的政府采购活动；</w:t>
      </w:r>
    </w:p>
    <w:p>
      <w:pPr>
        <w:pStyle w:val="null3"/>
      </w:pPr>
      <w:r>
        <w:rPr>
          <w:rFonts w:ascii="仿宋_GB2312" w:hAnsi="仿宋_GB2312" w:cs="仿宋_GB2312" w:eastAsia="仿宋_GB2312"/>
        </w:rPr>
        <w:t>13、其他要求：本项目不接受联合体投标（提供承诺函）。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西安市鄠邑区机关事务服务中心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西安市鄠邑区东街7号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西安市鄠邑区机关事务服务中心经办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13772456556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沣禹项目管理咨询有限公司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陕西省西安市未央区陕西省西安市经济技术开发区凤城一路今北豪庭1单元12405室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赵娅琦</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029-68320286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鄠邑区政府采购管理股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李清维</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84882872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采购包1：1,778,800.00元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代理服务费收费标准：代理服务费收费标准：本项目招标代理服务费参照国家计委关于印发《招标代理服务收费管理暂行办法》的通知（计价格〔2002〕1980号）、《国家发展和改革委员会办公厅关于招标代 理服务收费有关问题的通知》（发改办价格〔2003〕857号）及（发改办价格〔2011〕534号)规定工程类计取。单位名称：沣禹项目管理咨询有限公司 开户行：长安银行股份有限公司西安未央区支行 银行账号：8060 1090 1421 0119 81</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西安市鄠邑区机关事务服务中心</w:t>
      </w:r>
      <w:r>
        <w:rPr>
          <w:rFonts w:ascii="仿宋_GB2312" w:hAnsi="仿宋_GB2312" w:cs="仿宋_GB2312" w:eastAsia="仿宋_GB2312"/>
        </w:rPr>
        <w:t>和</w:t>
      </w:r>
      <w:r>
        <w:rPr>
          <w:rFonts w:ascii="仿宋_GB2312" w:hAnsi="仿宋_GB2312" w:cs="仿宋_GB2312" w:eastAsia="仿宋_GB2312"/>
        </w:rPr>
        <w:t>沣禹项目管理咨询有限公司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西安市鄠邑区机关事务服务中心</w:t>
      </w:r>
      <w:r>
        <w:rPr>
          <w:rFonts w:ascii="仿宋_GB2312" w:hAnsi="仿宋_GB2312" w:cs="仿宋_GB2312" w:eastAsia="仿宋_GB2312"/>
        </w:rPr>
        <w:t>负责解释。除上述磋商文件内容，其他内容由</w:t>
      </w:r>
      <w:r>
        <w:rPr>
          <w:rFonts w:ascii="仿宋_GB2312" w:hAnsi="仿宋_GB2312" w:cs="仿宋_GB2312" w:eastAsia="仿宋_GB2312"/>
        </w:rPr>
        <w:t>沣禹项目管理咨询有限公司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西安市鄠邑区机关事务服务中心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沣禹项目管理咨询有限公司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符合国家、行业、地方规定以及竞争性磋商文件规定的质量和安全标准要求。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沣禹项目管理咨询有限公司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沣禹项目管理咨询有限公司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沣禹项目管理咨询有限公司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联系人：赵娅琦</w:t>
      </w:r>
    </w:p>
    <w:p>
      <w:pPr>
        <w:pStyle w:val="null3"/>
      </w:pPr>
      <w:r>
        <w:rPr>
          <w:rFonts w:ascii="仿宋_GB2312" w:hAnsi="仿宋_GB2312" w:cs="仿宋_GB2312" w:eastAsia="仿宋_GB2312"/>
        </w:rPr>
        <w:t>联系电话：029-68320286</w:t>
      </w:r>
    </w:p>
    <w:p>
      <w:pPr>
        <w:pStyle w:val="null3"/>
      </w:pPr>
      <w:r>
        <w:rPr>
          <w:rFonts w:ascii="仿宋_GB2312" w:hAnsi="仿宋_GB2312" w:cs="仿宋_GB2312" w:eastAsia="仿宋_GB2312"/>
        </w:rPr>
        <w:t>地址：陕西省西安市凤城八路水晶新天地1803室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1,778,800.00</w:t>
      </w:r>
    </w:p>
    <w:p>
      <w:pPr>
        <w:pStyle w:val="null3"/>
      </w:pPr>
      <w:r>
        <w:rPr>
          <w:rFonts w:ascii="仿宋_GB2312" w:hAnsi="仿宋_GB2312" w:cs="仿宋_GB2312" w:eastAsia="仿宋_GB2312"/>
        </w:rPr>
        <w:t>采购包最高限价（元）: 1,320,149.47</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资规局办公场所水电改造项目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1,778,800.00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标的名称：资规局办公场所水电改造项目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19"/>
                <w:color w:val="000000"/>
              </w:rPr>
              <w:t>采购内容：（一）办公用房修缮、廉政灶改造、档案室加固。</w:t>
            </w:r>
          </w:p>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w:t>
            </w:r>
            <w:r>
              <w:rPr>
                <w:rFonts w:ascii="仿宋_GB2312" w:hAnsi="仿宋_GB2312" w:cs="仿宋_GB2312" w:eastAsia="仿宋_GB2312"/>
                <w:sz w:val="19"/>
                <w:color w:val="000000"/>
              </w:rPr>
              <w:t>对部分墙面脱皮区域等重新粉刷；</w:t>
            </w:r>
          </w:p>
          <w:p>
            <w:pPr>
              <w:pStyle w:val="null3"/>
            </w:pPr>
            <w:r>
              <w:rPr>
                <w:rFonts w:ascii="仿宋_GB2312" w:hAnsi="仿宋_GB2312" w:cs="仿宋_GB2312" w:eastAsia="仿宋_GB2312"/>
                <w:sz w:val="19"/>
                <w:color w:val="000000"/>
              </w:rPr>
              <w:t>2</w:t>
            </w:r>
            <w:r>
              <w:rPr>
                <w:rFonts w:ascii="仿宋_GB2312" w:hAnsi="仿宋_GB2312" w:cs="仿宋_GB2312" w:eastAsia="仿宋_GB2312"/>
                <w:sz w:val="19"/>
                <w:color w:val="000000"/>
              </w:rPr>
              <w:t xml:space="preserve">、对 </w:t>
            </w:r>
            <w:r>
              <w:rPr>
                <w:rFonts w:ascii="仿宋_GB2312" w:hAnsi="仿宋_GB2312" w:cs="仿宋_GB2312" w:eastAsia="仿宋_GB2312"/>
                <w:sz w:val="19"/>
                <w:color w:val="000000"/>
              </w:rPr>
              <w:t xml:space="preserve">1—4 </w:t>
            </w:r>
            <w:r>
              <w:rPr>
                <w:rFonts w:ascii="仿宋_GB2312" w:hAnsi="仿宋_GB2312" w:cs="仿宋_GB2312" w:eastAsia="仿宋_GB2312"/>
                <w:sz w:val="19"/>
                <w:color w:val="000000"/>
              </w:rPr>
              <w:t>层卫生间进行改造；</w:t>
            </w:r>
          </w:p>
          <w:p>
            <w:pPr>
              <w:pStyle w:val="null3"/>
            </w:pPr>
            <w:r>
              <w:rPr>
                <w:rFonts w:ascii="仿宋_GB2312" w:hAnsi="仿宋_GB2312" w:cs="仿宋_GB2312" w:eastAsia="仿宋_GB2312"/>
                <w:sz w:val="19"/>
                <w:color w:val="000000"/>
              </w:rPr>
              <w:t>3</w:t>
            </w:r>
            <w:r>
              <w:rPr>
                <w:rFonts w:ascii="仿宋_GB2312" w:hAnsi="仿宋_GB2312" w:cs="仿宋_GB2312" w:eastAsia="仿宋_GB2312"/>
                <w:sz w:val="19"/>
                <w:color w:val="000000"/>
              </w:rPr>
              <w:t>、办公区域局部隔挡及房间门拆除、调整、新增；</w:t>
            </w:r>
          </w:p>
          <w:p>
            <w:pPr>
              <w:pStyle w:val="null3"/>
            </w:pPr>
            <w:r>
              <w:rPr>
                <w:rFonts w:ascii="仿宋_GB2312" w:hAnsi="仿宋_GB2312" w:cs="仿宋_GB2312" w:eastAsia="仿宋_GB2312"/>
                <w:sz w:val="19"/>
                <w:color w:val="000000"/>
              </w:rPr>
              <w:t>4</w:t>
            </w:r>
            <w:r>
              <w:rPr>
                <w:rFonts w:ascii="仿宋_GB2312" w:hAnsi="仿宋_GB2312" w:cs="仿宋_GB2312" w:eastAsia="仿宋_GB2312"/>
                <w:sz w:val="19"/>
                <w:color w:val="000000"/>
              </w:rPr>
              <w:t>、</w:t>
            </w:r>
            <w:r>
              <w:rPr>
                <w:rFonts w:ascii="仿宋_GB2312" w:hAnsi="仿宋_GB2312" w:cs="仿宋_GB2312" w:eastAsia="仿宋_GB2312"/>
                <w:sz w:val="19"/>
                <w:color w:val="000000"/>
              </w:rPr>
              <w:t>对廉</w:t>
            </w:r>
            <w:r>
              <w:rPr>
                <w:rFonts w:ascii="仿宋_GB2312" w:hAnsi="仿宋_GB2312" w:cs="仿宋_GB2312" w:eastAsia="仿宋_GB2312"/>
                <w:sz w:val="19"/>
                <w:color w:val="000000"/>
              </w:rPr>
              <w:t>政灶进行改造，</w:t>
            </w:r>
            <w:r>
              <w:rPr>
                <w:rFonts w:ascii="仿宋_GB2312" w:hAnsi="仿宋_GB2312" w:cs="仿宋_GB2312" w:eastAsia="仿宋_GB2312"/>
                <w:sz w:val="19"/>
                <w:color w:val="000000"/>
              </w:rPr>
              <w:t>满足</w:t>
            </w:r>
            <w:r>
              <w:rPr>
                <w:rFonts w:ascii="仿宋_GB2312" w:hAnsi="仿宋_GB2312" w:cs="仿宋_GB2312" w:eastAsia="仿宋_GB2312"/>
                <w:sz w:val="19"/>
                <w:color w:val="000000"/>
              </w:rPr>
              <w:t>职工</w:t>
            </w:r>
            <w:r>
              <w:rPr>
                <w:rFonts w:ascii="仿宋_GB2312" w:hAnsi="仿宋_GB2312" w:cs="仿宋_GB2312" w:eastAsia="仿宋_GB2312"/>
                <w:sz w:val="19"/>
                <w:color w:val="000000"/>
              </w:rPr>
              <w:t>日常用餐需求</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5</w:t>
            </w:r>
            <w:r>
              <w:rPr>
                <w:rFonts w:ascii="仿宋_GB2312" w:hAnsi="仿宋_GB2312" w:cs="仿宋_GB2312" w:eastAsia="仿宋_GB2312"/>
                <w:sz w:val="19"/>
                <w:color w:val="000000"/>
              </w:rPr>
              <w:t>、分局档案资料较多且使用密集架，对一楼档案室进行加固，以消除安全隐患；</w:t>
            </w:r>
          </w:p>
          <w:p>
            <w:pPr>
              <w:pStyle w:val="null3"/>
            </w:pPr>
            <w:r>
              <w:rPr>
                <w:rFonts w:ascii="仿宋_GB2312" w:hAnsi="仿宋_GB2312" w:cs="仿宋_GB2312" w:eastAsia="仿宋_GB2312"/>
                <w:sz w:val="19"/>
                <w:color w:val="000000"/>
              </w:rPr>
              <w:t>6</w:t>
            </w:r>
            <w:r>
              <w:rPr>
                <w:rFonts w:ascii="仿宋_GB2312" w:hAnsi="仿宋_GB2312" w:cs="仿宋_GB2312" w:eastAsia="仿宋_GB2312"/>
                <w:sz w:val="19"/>
                <w:color w:val="000000"/>
              </w:rPr>
              <w:t>、门卫室屋面出现雨水渗漏，对屋面及室内墙面</w:t>
            </w:r>
            <w:r>
              <w:rPr>
                <w:rFonts w:ascii="仿宋_GB2312" w:hAnsi="仿宋_GB2312" w:cs="仿宋_GB2312" w:eastAsia="仿宋_GB2312"/>
                <w:sz w:val="19"/>
                <w:color w:val="000000"/>
              </w:rPr>
              <w:t>进行修缮。</w:t>
            </w:r>
          </w:p>
          <w:p>
            <w:pPr>
              <w:pStyle w:val="null3"/>
            </w:pPr>
            <w:r>
              <w:rPr>
                <w:rFonts w:ascii="仿宋_GB2312" w:hAnsi="仿宋_GB2312" w:cs="仿宋_GB2312" w:eastAsia="仿宋_GB2312"/>
                <w:sz w:val="19"/>
                <w:color w:val="000000"/>
              </w:rPr>
              <w:t>（二）弱电改造。</w:t>
            </w:r>
            <w:r>
              <w:rPr>
                <w:rFonts w:ascii="仿宋_GB2312" w:hAnsi="仿宋_GB2312" w:cs="仿宋_GB2312" w:eastAsia="仿宋_GB2312"/>
                <w:sz w:val="19"/>
                <w:color w:val="000000"/>
              </w:rPr>
              <w:t xml:space="preserve">本次弱电改造重新布置 </w:t>
            </w:r>
            <w:r>
              <w:rPr>
                <w:rFonts w:ascii="仿宋_GB2312" w:hAnsi="仿宋_GB2312" w:cs="仿宋_GB2312" w:eastAsia="仿宋_GB2312"/>
                <w:sz w:val="19"/>
                <w:color w:val="000000"/>
              </w:rPr>
              <w:t xml:space="preserve">7 </w:t>
            </w:r>
            <w:r>
              <w:rPr>
                <w:rFonts w:ascii="仿宋_GB2312" w:hAnsi="仿宋_GB2312" w:cs="仿宋_GB2312" w:eastAsia="仿宋_GB2312"/>
                <w:sz w:val="19"/>
                <w:color w:val="000000"/>
              </w:rPr>
              <w:t>条线路及相应设备，具体</w:t>
            </w:r>
            <w:r>
              <w:rPr>
                <w:rFonts w:ascii="仿宋_GB2312" w:hAnsi="仿宋_GB2312" w:cs="仿宋_GB2312" w:eastAsia="仿宋_GB2312"/>
                <w:sz w:val="19"/>
                <w:color w:val="000000"/>
              </w:rPr>
              <w:t>方案如下：</w:t>
            </w:r>
          </w:p>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 xml:space="preserve">、办公网：目前分局在用网络共分为 </w:t>
            </w:r>
            <w:r>
              <w:rPr>
                <w:rFonts w:ascii="仿宋_GB2312" w:hAnsi="仿宋_GB2312" w:cs="仿宋_GB2312" w:eastAsia="仿宋_GB2312"/>
                <w:sz w:val="19"/>
                <w:color w:val="000000"/>
              </w:rPr>
              <w:t xml:space="preserve">4 </w:t>
            </w:r>
            <w:r>
              <w:rPr>
                <w:rFonts w:ascii="仿宋_GB2312" w:hAnsi="仿宋_GB2312" w:cs="仿宋_GB2312" w:eastAsia="仿宋_GB2312"/>
                <w:sz w:val="19"/>
                <w:color w:val="000000"/>
              </w:rPr>
              <w:t>类，一是互联网，用于单位的日常工作使用，互联网插口处</w:t>
            </w:r>
            <w:r>
              <w:rPr>
                <w:rFonts w:ascii="仿宋_GB2312" w:hAnsi="仿宋_GB2312" w:cs="仿宋_GB2312" w:eastAsia="仿宋_GB2312"/>
                <w:sz w:val="19"/>
                <w:color w:val="000000"/>
              </w:rPr>
              <w:t xml:space="preserve">连接 </w:t>
            </w:r>
            <w:r>
              <w:rPr>
                <w:rFonts w:ascii="仿宋_GB2312" w:hAnsi="仿宋_GB2312" w:cs="仿宋_GB2312" w:eastAsia="仿宋_GB2312"/>
                <w:sz w:val="19"/>
                <w:color w:val="000000"/>
              </w:rPr>
              <w:t xml:space="preserve">10 </w:t>
            </w:r>
            <w:r>
              <w:rPr>
                <w:rFonts w:ascii="仿宋_GB2312" w:hAnsi="仿宋_GB2312" w:cs="仿宋_GB2312" w:eastAsia="仿宋_GB2312"/>
                <w:sz w:val="19"/>
                <w:color w:val="000000"/>
              </w:rPr>
              <w:t>口交换器；二是政务外网，用于区政府公文系统及市资规局</w:t>
            </w:r>
            <w:r>
              <w:rPr>
                <w:rFonts w:ascii="仿宋_GB2312" w:hAnsi="仿宋_GB2312" w:cs="仿宋_GB2312" w:eastAsia="仿宋_GB2312"/>
                <w:sz w:val="19"/>
                <w:color w:val="000000"/>
              </w:rPr>
              <w:t xml:space="preserve">OA </w:t>
            </w:r>
            <w:r>
              <w:rPr>
                <w:rFonts w:ascii="仿宋_GB2312" w:hAnsi="仿宋_GB2312" w:cs="仿宋_GB2312" w:eastAsia="仿宋_GB2312"/>
                <w:sz w:val="19"/>
                <w:color w:val="000000"/>
              </w:rPr>
              <w:t>办公系统；三是政务内网</w:t>
            </w:r>
            <w:r>
              <w:rPr>
                <w:rFonts w:ascii="仿宋_GB2312" w:hAnsi="仿宋_GB2312" w:cs="仿宋_GB2312" w:eastAsia="仿宋_GB2312"/>
                <w:sz w:val="19"/>
                <w:color w:val="000000"/>
              </w:rPr>
              <w:t>，用于区财政系统、市资规局</w:t>
            </w:r>
            <w:r>
              <w:rPr>
                <w:rFonts w:ascii="仿宋_GB2312" w:hAnsi="仿宋_GB2312" w:cs="仿宋_GB2312" w:eastAsia="仿宋_GB2312"/>
                <w:sz w:val="19"/>
                <w:color w:val="000000"/>
              </w:rPr>
              <w:t>“</w:t>
            </w:r>
            <w:r>
              <w:rPr>
                <w:rFonts w:ascii="仿宋_GB2312" w:hAnsi="仿宋_GB2312" w:cs="仿宋_GB2312" w:eastAsia="仿宋_GB2312"/>
                <w:sz w:val="19"/>
                <w:color w:val="000000"/>
              </w:rPr>
              <w:t>一张图</w:t>
            </w:r>
            <w:r>
              <w:rPr>
                <w:rFonts w:ascii="仿宋_GB2312" w:hAnsi="仿宋_GB2312" w:cs="仿宋_GB2312" w:eastAsia="仿宋_GB2312"/>
                <w:sz w:val="19"/>
                <w:color w:val="000000"/>
              </w:rPr>
              <w:t>”</w:t>
            </w:r>
            <w:r>
              <w:rPr>
                <w:rFonts w:ascii="仿宋_GB2312" w:hAnsi="仿宋_GB2312" w:cs="仿宋_GB2312" w:eastAsia="仿宋_GB2312"/>
                <w:sz w:val="19"/>
                <w:color w:val="000000"/>
              </w:rPr>
              <w:t>系统及视频会议；四是部分科室业务专线。</w:t>
            </w:r>
          </w:p>
          <w:p>
            <w:pPr>
              <w:pStyle w:val="null3"/>
            </w:pPr>
            <w:r>
              <w:rPr>
                <w:rFonts w:ascii="仿宋_GB2312" w:hAnsi="仿宋_GB2312" w:cs="仿宋_GB2312" w:eastAsia="仿宋_GB2312"/>
                <w:sz w:val="19"/>
                <w:color w:val="000000"/>
              </w:rPr>
              <w:t>2</w:t>
            </w:r>
            <w:r>
              <w:rPr>
                <w:rFonts w:ascii="仿宋_GB2312" w:hAnsi="仿宋_GB2312" w:cs="仿宋_GB2312" w:eastAsia="仿宋_GB2312"/>
                <w:sz w:val="19"/>
                <w:color w:val="000000"/>
              </w:rPr>
              <w:t xml:space="preserve">、其他 </w:t>
            </w:r>
            <w:r>
              <w:rPr>
                <w:rFonts w:ascii="仿宋_GB2312" w:hAnsi="仿宋_GB2312" w:cs="仿宋_GB2312" w:eastAsia="仿宋_GB2312"/>
                <w:sz w:val="19"/>
                <w:color w:val="000000"/>
              </w:rPr>
              <w:t xml:space="preserve">3 </w:t>
            </w:r>
            <w:r>
              <w:rPr>
                <w:rFonts w:ascii="仿宋_GB2312" w:hAnsi="仿宋_GB2312" w:cs="仿宋_GB2312" w:eastAsia="仿宋_GB2312"/>
                <w:sz w:val="19"/>
                <w:color w:val="000000"/>
              </w:rPr>
              <w:t>条线路：一是电话线路；二是监控线路；三是预留线路一条以满足后期新增使用，过道顶</w:t>
            </w:r>
            <w:r>
              <w:rPr>
                <w:rFonts w:ascii="仿宋_GB2312" w:hAnsi="仿宋_GB2312" w:cs="仿宋_GB2312" w:eastAsia="仿宋_GB2312"/>
                <w:sz w:val="19"/>
                <w:color w:val="000000"/>
              </w:rPr>
              <w:t>面增加无线</w:t>
            </w:r>
            <w:r>
              <w:rPr>
                <w:rFonts w:ascii="仿宋_GB2312" w:hAnsi="仿宋_GB2312" w:cs="仿宋_GB2312" w:eastAsia="仿宋_GB2312"/>
                <w:sz w:val="19"/>
                <w:color w:val="000000"/>
              </w:rPr>
              <w:t>AP</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3</w:t>
            </w:r>
            <w:r>
              <w:rPr>
                <w:rFonts w:ascii="仿宋_GB2312" w:hAnsi="仿宋_GB2312" w:cs="仿宋_GB2312" w:eastAsia="仿宋_GB2312"/>
                <w:sz w:val="19"/>
                <w:color w:val="000000"/>
              </w:rPr>
              <w:t>、监控设备：增加楼内过道、一层谈话室、信访办、厨房、室外锅炉房半球摄像头及室外绿化带四</w:t>
            </w:r>
            <w:r>
              <w:rPr>
                <w:rFonts w:ascii="仿宋_GB2312" w:hAnsi="仿宋_GB2312" w:cs="仿宋_GB2312" w:eastAsia="仿宋_GB2312"/>
                <w:sz w:val="19"/>
                <w:color w:val="000000"/>
              </w:rPr>
              <w:t>周立杆监控，以安保室为监控室。</w:t>
            </w:r>
          </w:p>
          <w:p>
            <w:pPr>
              <w:pStyle w:val="null3"/>
            </w:pPr>
            <w:r>
              <w:rPr>
                <w:rFonts w:ascii="仿宋_GB2312" w:hAnsi="仿宋_GB2312" w:cs="仿宋_GB2312" w:eastAsia="仿宋_GB2312"/>
                <w:sz w:val="19"/>
                <w:color w:val="000000"/>
              </w:rPr>
              <w:t>4</w:t>
            </w:r>
            <w:r>
              <w:rPr>
                <w:rFonts w:ascii="仿宋_GB2312" w:hAnsi="仿宋_GB2312" w:cs="仿宋_GB2312" w:eastAsia="仿宋_GB2312"/>
                <w:sz w:val="19"/>
                <w:color w:val="000000"/>
              </w:rPr>
              <w:t>、机房增加设备：</w:t>
            </w:r>
            <w:r>
              <w:rPr>
                <w:rFonts w:ascii="仿宋_GB2312" w:hAnsi="仿宋_GB2312" w:cs="仿宋_GB2312" w:eastAsia="仿宋_GB2312"/>
                <w:sz w:val="19"/>
                <w:color w:val="000000"/>
              </w:rPr>
              <w:t xml:space="preserve">1-4 </w:t>
            </w:r>
            <w:r>
              <w:rPr>
                <w:rFonts w:ascii="仿宋_GB2312" w:hAnsi="仿宋_GB2312" w:cs="仿宋_GB2312" w:eastAsia="仿宋_GB2312"/>
                <w:sz w:val="19"/>
                <w:color w:val="000000"/>
              </w:rPr>
              <w:t>层增加弱电机柜，机柜内部安装 配线架及交换机等。</w:t>
            </w:r>
          </w:p>
          <w:p>
            <w:pPr>
              <w:pStyle w:val="null3"/>
            </w:pPr>
            <w:r>
              <w:rPr>
                <w:rFonts w:ascii="仿宋_GB2312" w:hAnsi="仿宋_GB2312" w:cs="仿宋_GB2312" w:eastAsia="仿宋_GB2312"/>
                <w:sz w:val="19"/>
                <w:color w:val="000000"/>
              </w:rPr>
              <w:t>详见采购文件，图纸，答疑文件，工程量清单等。</w:t>
            </w:r>
          </w:p>
          <w:p>
            <w:pPr>
              <w:pStyle w:val="null3"/>
            </w:pPr>
            <w:r>
              <w:rPr>
                <w:rFonts w:ascii="仿宋_GB2312" w:hAnsi="仿宋_GB2312" w:cs="仿宋_GB2312" w:eastAsia="仿宋_GB2312"/>
                <w:sz w:val="19"/>
                <w:color w:val="000000"/>
              </w:rPr>
              <w:t>（三）工期：</w:t>
            </w:r>
            <w:r>
              <w:rPr>
                <w:rFonts w:ascii="仿宋_GB2312" w:hAnsi="仿宋_GB2312" w:cs="仿宋_GB2312" w:eastAsia="仿宋_GB2312"/>
                <w:sz w:val="19"/>
                <w:color w:val="000000"/>
              </w:rPr>
              <w:t>自合同签订之日起</w:t>
            </w:r>
            <w:r>
              <w:rPr>
                <w:rFonts w:ascii="仿宋_GB2312" w:hAnsi="仿宋_GB2312" w:cs="仿宋_GB2312" w:eastAsia="仿宋_GB2312"/>
                <w:sz w:val="19"/>
                <w:color w:val="000000"/>
              </w:rPr>
              <w:t>100</w:t>
            </w:r>
            <w:r>
              <w:rPr>
                <w:rFonts w:ascii="仿宋_GB2312" w:hAnsi="仿宋_GB2312" w:cs="仿宋_GB2312" w:eastAsia="仿宋_GB2312"/>
                <w:sz w:val="19"/>
                <w:color w:val="000000"/>
              </w:rPr>
              <w:t>日历天</w:t>
            </w:r>
          </w:p>
          <w:p>
            <w:pPr>
              <w:pStyle w:val="null3"/>
            </w:pPr>
            <w:r>
              <w:rPr>
                <w:rFonts w:ascii="仿宋_GB2312" w:hAnsi="仿宋_GB2312" w:cs="仿宋_GB2312" w:eastAsia="仿宋_GB2312"/>
                <w:sz w:val="19"/>
                <w:color w:val="000000"/>
              </w:rPr>
              <w:t>（四）工程缺陷责任期：</w:t>
            </w:r>
            <w:r>
              <w:rPr>
                <w:rFonts w:ascii="仿宋_GB2312" w:hAnsi="仿宋_GB2312" w:cs="仿宋_GB2312" w:eastAsia="仿宋_GB2312"/>
                <w:sz w:val="19"/>
                <w:color w:val="000000"/>
              </w:rPr>
              <w:t>本工程缺陷责任期为一年，缺陷责任期自工程通过竣工验收之日起计算。</w:t>
            </w:r>
          </w:p>
          <w:p>
            <w:pPr>
              <w:pStyle w:val="null3"/>
            </w:pPr>
            <w:r>
              <w:rPr>
                <w:rFonts w:ascii="仿宋_GB2312" w:hAnsi="仿宋_GB2312" w:cs="仿宋_GB2312" w:eastAsia="仿宋_GB2312"/>
                <w:sz w:val="19"/>
                <w:color w:val="000000"/>
              </w:rPr>
              <w:t>（五）质量保修期：</w:t>
            </w:r>
            <w:r>
              <w:rPr>
                <w:rFonts w:ascii="仿宋_GB2312" w:hAnsi="仿宋_GB2312" w:cs="仿宋_GB2312" w:eastAsia="仿宋_GB2312"/>
                <w:sz w:val="19"/>
                <w:color w:val="000000"/>
              </w:rPr>
              <w:t>本工程质量保修期为两年。</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达到国家现行行业施工验收规范“合格”标准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详见采购文件</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1.在磋商会议开始前，递交一正两副纸质版磋商响应文件、U盘两份（word版和签章扫描件版）。送至陕西省西安市凤城八路水晶新天地1803室。 2.中标（成交）单位在领取中标（成交）通知书后在甲方处领取本项目施工图纸。3.供应商务必在开标截止时间30分钟前，通过项目电子化交易系统进行签到，如未进行签到，产生的一切后果由供应商自行承担。 4.供应商的磋商报价包括施工机械使用费、人工费、材料与设备费、维护费、其他（运杂费、质检费、安装费、缺陷修复费、保险费，以及合同明示或暗示的风险、责任和义务等），以及管理费、税金、利润、采购代理服务费等所有费用，并符合建设工程计价规则。5.签名是指手写签名或者加盖姓名章，盖章是指加盖单位印章。6.本项目采购标的对应的中小企业划分标准所属行业为建筑业。本项目专门面向中小企业采购。 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提供2024年或2025年度经审计的财务报告（注：依据财政部、国务院国资委、金融监管总局印发《关于加强审计报告查验工作的通知》(财会(2023〕15号)报告须在注册会计师行业统一监管平台备案并由该平台赋予二维码））或提交响应文件截止时间三个月内其基本账户开户银行出具的资信证明或财政部门认可的政府采购专业担保机构出具的投标担保函等政府采购法要求的证明资料(以上三种形式的资料提供任何一种即可)；</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法定代表人授权书或法定代表人身份证明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法定代表人授权书（附法定代表人、被授权人身份证复印件）及被授权人身份证复印件（法定代表人直接参加的，须提供法定代表人身份证明及身份证复印件）；非法人单位参照执行；</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供应商须具备建设行政主管部门颁发的建筑工程施工总承包三级及以上资质，且具备合格有效的安全生产许可证；</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项目经理要求</w:t>
            </w:r>
          </w:p>
        </w:tc>
        <w:tc>
          <w:tcPr>
            <w:tcW w:type="dxa" w:w="3322"/>
          </w:tcPr>
          <w:p>
            <w:pPr>
              <w:pStyle w:val="null3"/>
            </w:pPr>
            <w:r>
              <w:rPr>
                <w:rFonts w:ascii="仿宋_GB2312" w:hAnsi="仿宋_GB2312" w:cs="仿宋_GB2312" w:eastAsia="仿宋_GB2312"/>
              </w:rPr>
              <w:t>拟派项目经理具备建筑工程二级及以上注册建造师证、安全生产考核合格证（建安B证）、无在建工程承诺书（复印件加盖公章）；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供应商及项目经理资质查询</w:t>
            </w:r>
          </w:p>
        </w:tc>
        <w:tc>
          <w:tcPr>
            <w:tcW w:type="dxa" w:w="3322"/>
          </w:tcPr>
          <w:p>
            <w:pPr>
              <w:pStyle w:val="null3"/>
            </w:pPr>
            <w:r>
              <w:rPr>
                <w:rFonts w:ascii="仿宋_GB2312" w:hAnsi="仿宋_GB2312" w:cs="仿宋_GB2312" w:eastAsia="仿宋_GB2312"/>
              </w:rPr>
              <w:t>供应商及项目经理基本信息在“陕西省住房和城乡建设厅”和“全国建筑市场监管公共服务平台”（http://jzsc.mohurd.gov.cn/home）可查询；</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有效的主体证明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具有独立承担民事责任能力的法人、其他组织或自然人，并出具合法有效的营业执照或事业单位法人证书等国家规定的相关证明，自然人参与的提供其身份证明书；</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交响应文件截止时间前6个月内至少一个月的纳税证明或完税证明(增值税、营业税、企业所得税至少提供一种)，纳税证明或完税证明上应有代收机构或税务机关的公章或业务专用章，(依法免税的供应商应提供相应文件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提供投标截止日前6个月内已缴存的至少一个月的社会保障资金缴存单据或社保机构开具的社会保险参保缴费情况证明，依法不需要缴纳社会保障资金的单位应提供相关证明材料；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关于财务会计制度的证明材料：提供2024年或2025年度经审计的财务报告（注：依据财政部、国务院国资委、金融监管总局印发《关于加强审计报告查验工作的通知》(财会(2023〕15号)报告须在注册会计师行业统一监管平台备案并由该平台赋予二维码））或提交响应文件截止时间三个月内其基本账户开户银行出具的资信证明或财政部门认可的政府采购专业担保机构出具的投标担保函(以上三种形式的资料提供任何一种即可)；</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重大违法记录书面声明</w:t>
            </w:r>
          </w:p>
        </w:tc>
        <w:tc>
          <w:tcPr>
            <w:tcW w:type="dxa" w:w="3322"/>
          </w:tcPr>
          <w:p>
            <w:pPr>
              <w:pStyle w:val="null3"/>
            </w:pPr>
            <w:r>
              <w:rPr>
                <w:rFonts w:ascii="仿宋_GB2312" w:hAnsi="仿宋_GB2312" w:cs="仿宋_GB2312" w:eastAsia="仿宋_GB2312"/>
              </w:rPr>
              <w:t>参加政府采购活动前3年内，在经营活动中没有重大违法记录（提供书面声明）；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履行专业技术能力</w:t>
            </w:r>
          </w:p>
        </w:tc>
        <w:tc>
          <w:tcPr>
            <w:tcW w:type="dxa" w:w="3322"/>
          </w:tcPr>
          <w:p>
            <w:pPr>
              <w:pStyle w:val="null3"/>
            </w:pPr>
            <w:r>
              <w:rPr>
                <w:rFonts w:ascii="仿宋_GB2312" w:hAnsi="仿宋_GB2312" w:cs="仿宋_GB2312" w:eastAsia="仿宋_GB2312"/>
              </w:rPr>
              <w:t>提供具有履行本合同所必需的设备和专业技术能力的承诺（提供承诺书）；</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本项目不接受联合体投标（提供承诺函）。</w:t>
            </w:r>
          </w:p>
        </w:tc>
        <w:tc>
          <w:tcPr>
            <w:tcW w:type="dxa" w:w="1661"/>
          </w:tcPr>
          <w:p>
            <w:pPr>
              <w:pStyle w:val="null3"/>
            </w:pPr>
            <w:r>
              <w:rPr>
                <w:rFonts w:ascii="仿宋_GB2312" w:hAnsi="仿宋_GB2312" w:cs="仿宋_GB2312" w:eastAsia="仿宋_GB2312"/>
              </w:rPr>
              <w:t>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已标价工程量清单.docx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（1）响应文件的签字盖章：响应文件上法定代表人或其委托代理人的签字齐全并加盖单位章； （2）响应文件格式：应符合响应文件要求； （3）报价唯一：只能有一个有效报价，不得提交选择性报价，且报价不超过采购预算； （4）第一次磋商报价：第一次磋商报价不超过采购预算。</w:t>
            </w:r>
          </w:p>
        </w:tc>
        <w:tc>
          <w:tcPr>
            <w:tcW w:type="dxa" w:w="1661"/>
          </w:tcPr>
          <w:p>
            <w:pPr>
              <w:pStyle w:val="null3"/>
            </w:pPr>
            <w:r>
              <w:rPr>
                <w:rFonts w:ascii="仿宋_GB2312" w:hAnsi="仿宋_GB2312" w:cs="仿宋_GB2312" w:eastAsia="仿宋_GB2312"/>
              </w:rPr>
              <w:t>投标方案.docx 已标价工程量清单.docx 中小企业声明函 技术服务合同条款及其他商务要求应答表 响应文件封面 项目管理机构组成表 供应商认为有必要补充说明的事项.docx 拒绝政府采购领域商业贿赂承诺书.docx 残疾人福利性单位声明函 报价函 标的清单 供应商类似项目业绩一览表 资格证明材料.docx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完整性审查</w:t>
            </w:r>
          </w:p>
        </w:tc>
        <w:tc>
          <w:tcPr>
            <w:tcW w:type="dxa" w:w="3322"/>
          </w:tcPr>
          <w:p>
            <w:pPr>
              <w:pStyle w:val="null3"/>
            </w:pPr>
            <w:r>
              <w:rPr>
                <w:rFonts w:ascii="仿宋_GB2312" w:hAnsi="仿宋_GB2312" w:cs="仿宋_GB2312" w:eastAsia="仿宋_GB2312"/>
              </w:rPr>
              <w:t>响应文件内容齐全、无遗漏</w:t>
            </w:r>
          </w:p>
        </w:tc>
        <w:tc>
          <w:tcPr>
            <w:tcW w:type="dxa" w:w="1661"/>
          </w:tcPr>
          <w:p>
            <w:pPr>
              <w:pStyle w:val="null3"/>
            </w:pPr>
            <w:r>
              <w:rPr>
                <w:rFonts w:ascii="仿宋_GB2312" w:hAnsi="仿宋_GB2312" w:cs="仿宋_GB2312" w:eastAsia="仿宋_GB2312"/>
              </w:rPr>
              <w:t>投标方案.docx 已标价工程量清单.docx 中小企业声明函 技术服务合同条款及其他商务要求应答表 响应文件封面 项目管理机构组成表 供应商认为有必要补充说明的事项.docx 残疾人福利性单位声明函 拒绝政府采购领域商业贿赂承诺书.docx 报价函 标的清单 供应商类似项目业绩一览表 资格证明材料.docx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响应性审查</w:t>
            </w:r>
          </w:p>
        </w:tc>
        <w:tc>
          <w:tcPr>
            <w:tcW w:type="dxa" w:w="3322"/>
          </w:tcPr>
          <w:p>
            <w:pPr>
              <w:pStyle w:val="null3"/>
            </w:pPr>
            <w:r>
              <w:rPr>
                <w:rFonts w:ascii="仿宋_GB2312" w:hAnsi="仿宋_GB2312" w:cs="仿宋_GB2312" w:eastAsia="仿宋_GB2312"/>
              </w:rPr>
              <w:t>（1）对采购文件响应程度：要求全面响应，不能有任何采购人不能接受的附加条件； （2）拟提供服务响应程度；应满足采购文件提出的技术和服务要求。不允许负偏离； （3）工期：应满足采购文件中要求； （4）地点：应满足采购文件中要求； （5）磋商有效期：应满足采购文件中的规定。</w:t>
            </w:r>
          </w:p>
        </w:tc>
        <w:tc>
          <w:tcPr>
            <w:tcW w:type="dxa" w:w="1661"/>
          </w:tcPr>
          <w:p>
            <w:pPr>
              <w:pStyle w:val="null3"/>
            </w:pPr>
            <w:r>
              <w:rPr>
                <w:rFonts w:ascii="仿宋_GB2312" w:hAnsi="仿宋_GB2312" w:cs="仿宋_GB2312" w:eastAsia="仿宋_GB2312"/>
              </w:rPr>
              <w:t>投标方案.docx 已标价工程量清单.docx 中小企业声明函 技术服务合同条款及其他商务要求应答表 响应文件封面 项目管理机构组成表 供应商认为有必要补充说明的事项.docx 拒绝政府采购领域商业贿赂承诺书.docx 残疾人福利性单位声明函 报价函 标的清单 供应商类似项目业绩一览表 资格证明材料.docx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1、评审内容：提供针对本项目施工部署计划方案，包含①施工目标：成本目标、工期目标、质量目标；②资源配备计划：主要施工设备、劳动力等配备计划及主材进场计划。2、评审标准：①完整性：响应全面，对评审内容中的各项要求有详细描述 ②可实施性：内容科学，步骤清晰、合理，可实施性强；③针对性：能够紧扣项目实际情况，满足具体要求。3、赋分标准：①施工目标：每完全满足一个评审标准得1分，满分3分；②资源配备计划：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施工措施</w:t>
            </w:r>
          </w:p>
        </w:tc>
        <w:tc>
          <w:tcPr>
            <w:tcW w:type="dxa" w:w="2492"/>
          </w:tcPr>
          <w:p>
            <w:pPr>
              <w:pStyle w:val="null3"/>
            </w:pPr>
            <w:r>
              <w:rPr>
                <w:rFonts w:ascii="仿宋_GB2312" w:hAnsi="仿宋_GB2312" w:cs="仿宋_GB2312" w:eastAsia="仿宋_GB2312"/>
              </w:rPr>
              <w:t>1、评审内容：提供针对本项目的施工措施保障，包含①工程重难点及解决方案；②施工方法及工艺；③相关技术措施：施工质量通病防治措施、成品保护措施等；④应急措施：突发事件和安全事故等紧急情况的应急措施；2、评审标准：①完整性：响应全面，对评审内容中的各项要求有详细描述 ②可实施性：内容科学，步骤清晰、合理，可实施性强；③针对性：能够紧扣项目实际情况，满足具体要求。3、赋分标准：①工程重难点及解决措施：每完全满足一个评审标准得1分，满分3分；②施工方法及工艺：每完全满足一个评审标准得1分，满分3分；③相关技术措施：每完全满足一个评审标准得1分，满分3分；④应急措施：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施工进度</w:t>
            </w:r>
          </w:p>
        </w:tc>
        <w:tc>
          <w:tcPr>
            <w:tcW w:type="dxa" w:w="2492"/>
          </w:tcPr>
          <w:p>
            <w:pPr>
              <w:pStyle w:val="null3"/>
            </w:pPr>
            <w:r>
              <w:rPr>
                <w:rFonts w:ascii="仿宋_GB2312" w:hAnsi="仿宋_GB2312" w:cs="仿宋_GB2312" w:eastAsia="仿宋_GB2312"/>
              </w:rPr>
              <w:t>1、评审内容：提供针对本项目的施工进度措施保障措施，包含①施工计划安排：施工进度目标和施工总进度计划表；②进度保障措施：工期保证措施、特殊情况（夜间、雨季、高低温等其它情况）保证等。2、评审标准：①完整性：响应全面，对评审内容中的各项要求有详细描述②可实施性：内容科学，步骤清晰、合理，可实施性强；③针对性：能够紧扣项目实际情况，满足具体要求。3、赋分标准：①施工总进度：每完全满足一个评审标准得1分，满分3分；②进度保障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环境保护措施</w:t>
            </w:r>
          </w:p>
        </w:tc>
        <w:tc>
          <w:tcPr>
            <w:tcW w:type="dxa" w:w="2492"/>
          </w:tcPr>
          <w:p>
            <w:pPr>
              <w:pStyle w:val="null3"/>
            </w:pPr>
            <w:r>
              <w:rPr>
                <w:rFonts w:ascii="仿宋_GB2312" w:hAnsi="仿宋_GB2312" w:cs="仿宋_GB2312" w:eastAsia="仿宋_GB2312"/>
              </w:rPr>
              <w:t>1、评审内容：提供针对本项目的环境保护措施保障，包含①环境保护管理体系；②环保控制措施：污染物及废弃物处理的排放、噪音控制、防尘及扬尘的控制措施。2、评审标准：①完整性：响应全面，对评审内容中的各项要求有详细描述 ②可实施性：内容科学，步骤清晰、合理，可实施性强；③针对性：能够紧扣项目实际情况，满足具体要求。3、赋分标准：①环境保护管理体系：每完全满足一个评审标准得1分，满分3分；②环保控制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质量管理</w:t>
            </w:r>
          </w:p>
        </w:tc>
        <w:tc>
          <w:tcPr>
            <w:tcW w:type="dxa" w:w="2492"/>
          </w:tcPr>
          <w:p>
            <w:pPr>
              <w:pStyle w:val="null3"/>
            </w:pPr>
            <w:r>
              <w:rPr>
                <w:rFonts w:ascii="仿宋_GB2312" w:hAnsi="仿宋_GB2312" w:cs="仿宋_GB2312" w:eastAsia="仿宋_GB2312"/>
              </w:rPr>
              <w:t>1、评审内容：提供针对本项目完善的质量保证管理体系及相关措施，包含①质量管理目标；②施工质量保障措施；③施工质量检验制度。2、评审标准：①完整性：响应全面，对评审内容中的各项要求有详细描述②可实施性：内容科学，步骤清晰、合理，可实施性强；③针对性：能够紧扣项目实际情况，满足具体要求。3、赋分标准：①质量管理目标：每完全满足一个评审标准得1分，满分3分；②施工质量保障措施：每完全满足一个评审标准得1分，满分3分；③施工质量检验制度：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安全管理</w:t>
            </w:r>
          </w:p>
        </w:tc>
        <w:tc>
          <w:tcPr>
            <w:tcW w:type="dxa" w:w="2492"/>
          </w:tcPr>
          <w:p>
            <w:pPr>
              <w:pStyle w:val="null3"/>
            </w:pPr>
            <w:r>
              <w:rPr>
                <w:rFonts w:ascii="仿宋_GB2312" w:hAnsi="仿宋_GB2312" w:cs="仿宋_GB2312" w:eastAsia="仿宋_GB2312"/>
              </w:rPr>
              <w:t>一、安全管理措施： 1、评审内容：提供针对本项目的安全管理体系与相关措施，包含①安全管理体系：安全制度、安全责任划分，标识及安全装备配备、安全教育培训等；②文明施工：施工现场管理、材料及机具堆放、检查措施等。2、评审标准：①完整性：响应全面，对评审内容中的各项要求有详细描述 ②可实施性：内容科学，步骤清晰、合理，可实施性强；③针对性：能够紧扣项目实际情况，满足具体要求。3、赋分标准：①安全管理体系：每完全满足一个评审标准得1分，满分3分；②文明施工：每完全满足一个评审标准得1分，满分3分；二、执行强规执行国家、行业、地方强制性标准规范并在方案中明确响应规范的得2分，否则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项目组织管理机构</w:t>
            </w:r>
          </w:p>
        </w:tc>
        <w:tc>
          <w:tcPr>
            <w:tcW w:type="dxa" w:w="2492"/>
          </w:tcPr>
          <w:p>
            <w:pPr>
              <w:pStyle w:val="null3"/>
            </w:pPr>
            <w:r>
              <w:rPr>
                <w:rFonts w:ascii="仿宋_GB2312" w:hAnsi="仿宋_GB2312" w:cs="仿宋_GB2312" w:eastAsia="仿宋_GB2312"/>
              </w:rPr>
              <w:t>提供项目的组织管理机构情况，包括但不限于拟派项目部的组织架构、岗位职责、人员资质、人员分工等。项目部组织结构健全，有完善的岗位制度和岗位职责，人员安排合理、分工明确，完全符合项目需要的，得7分；项目部组织结构不健全，岗位制度和岗位职责安排简单，基本符合项目需要的，得3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保修承诺</w:t>
            </w:r>
          </w:p>
        </w:tc>
        <w:tc>
          <w:tcPr>
            <w:tcW w:type="dxa" w:w="2492"/>
          </w:tcPr>
          <w:p>
            <w:pPr>
              <w:pStyle w:val="null3"/>
            </w:pPr>
            <w:r>
              <w:rPr>
                <w:rFonts w:ascii="仿宋_GB2312" w:hAnsi="仿宋_GB2312" w:cs="仿宋_GB2312" w:eastAsia="仿宋_GB2312"/>
              </w:rPr>
              <w:t>1、评审内容：提供针对本项目的保修承诺，包含①保修措施及承诺：工程维修服务承诺、保修措施和响应时限；②应急维护：紧急情况抢修，发生质量问题后的补救措施。2、评审标准：①完整性：响应全面，对评审内容中的各项要求有详细描述②可实施性及针对性：内容科学，能够紧扣项目实际情况，步骤清晰、合理，可实施性强；3、赋分标准：①保修措施及承诺：每完全满足一个评审标准得1.5分，满分3分；②应急维护：每完全满足一个评审标准得1.5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提供2023年1月1日以来（以合同签订之日为准）同类项目的业绩证明文件。评审时以响应文件中的扫描件（加盖公章）为计分依据，每提供一份完整的业绩证明文件得2分，满分10分。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满足磋商文件要求且最后综合报价最低的供应商的价格为磋商基准价，其价格分为满分。其他供应商的价格分统一按照下列公式计算： 磋商报价得分=（磋商基准价/最后磋商报价）×价格权值（20%）×100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本项目授权磋商小组直接确认成交供应商，确认后代理机构在陕西省政府采购网上发布成交结果公告，同时向成交供应商发出成交通知书。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详见附件：供应商认为有必要补充说明的事项.docx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