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版本号：ZCBN-鄠邑区-2026-0008820260407002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涝河及甘峪河下游段维修养护项目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ZCBN-鄠邑区-2026-00088</w:t>
      </w:r>
      <w:r>
        <w:br/>
      </w:r>
      <w:r>
        <w:br/>
      </w:r>
      <w:r>
        <w:br/>
      </w:r>
    </w:p>
    <w:p>
      <w:pPr>
        <w:pStyle w:val="null3"/>
        <w:jc w:val="center"/>
        <w:outlineLvl w:val="2"/>
      </w:pPr>
      <w:r>
        <w:rPr>
          <w:rFonts w:ascii="仿宋_GB2312" w:hAnsi="仿宋_GB2312" w:cs="仿宋_GB2312" w:eastAsia="仿宋_GB2312"/>
          <w:sz w:val="28"/>
          <w:b/>
        </w:rPr>
        <w:t>西安市鄠邑区涝河管理站</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西安市鄠邑区涝河管理站</w:t>
      </w:r>
      <w:r>
        <w:rPr>
          <w:rFonts w:ascii="仿宋_GB2312" w:hAnsi="仿宋_GB2312" w:cs="仿宋_GB2312" w:eastAsia="仿宋_GB2312"/>
        </w:rPr>
        <w:t>委托，拟对</w:t>
      </w:r>
      <w:r>
        <w:rPr>
          <w:rFonts w:ascii="仿宋_GB2312" w:hAnsi="仿宋_GB2312" w:cs="仿宋_GB2312" w:eastAsia="仿宋_GB2312"/>
        </w:rPr>
        <w:t>涝河及甘峪河下游段维修养护项目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ZCBN-鄠邑区-2026-00088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涝河及甘峪河下游段维修养护项目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对涝河上起零号坝，下至涝河入渭口段实施维修养护，河道长度共32.132km，左右岸堤防共63.814km；对甘河下游段左右岸堤防 10km 实施维修养护。主要内容有堤顶维修养护、堤坡除草、堤防工程及管护设施维修养护、堤顶道路维护、河道日常巡查。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采购包1（涝河及甘峪河下游段维修养护项目）：属于专门面向小微企业采购。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4、具有依法缴纳税收的良好记录：提供磋商截止日前一年内已缴纳的至少一个月的纳税证明或完税证明，依法免税的单位应提供相关证明材料。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5、具有依法缴纳社会保障资金的良好记录：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6、无重大违法记录：参加政府采购活动前3年内在经营活动中没有重大违法记录。</w:t>
      </w:r>
    </w:p>
    <w:p>
      <w:pPr>
        <w:pStyle w:val="null3"/>
      </w:pPr>
      <w:r>
        <w:rPr>
          <w:rFonts w:ascii="仿宋_GB2312" w:hAnsi="仿宋_GB2312" w:cs="仿宋_GB2312" w:eastAsia="仿宋_GB2312"/>
        </w:rPr>
        <w:t>7、供应商应授权合法的人员参加本项目开标活动全过程：法定代表人直接参加的须提供法定代表人身份证并与营业执照上信息一致；法定代表人授权代表参加的须提供法定代表人授权书及被授权人在本单位证明（养老保险缴纳证明或劳动合同）。</w:t>
      </w:r>
    </w:p>
    <w:p>
      <w:pPr>
        <w:pStyle w:val="null3"/>
      </w:pPr>
      <w:r>
        <w:rPr>
          <w:rFonts w:ascii="仿宋_GB2312" w:hAnsi="仿宋_GB2312" w:cs="仿宋_GB2312" w:eastAsia="仿宋_GB2312"/>
        </w:rPr>
        <w:t>8、信誉情况：截止至响应文件递交截止时间之前，供应商未被“信用中国”（www.creditchina.gov.cn）或“中国执行信息公开网”（http://zxgk.court.gov.cn/shixi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9、非联合体承诺书：本项目不接受联合体，单位负责人为同一人或者存在控股、管理关系的不同单位不得同时参加。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西安市鄠邑区涝河管理站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西安市鄠邑区涝店街道北二街东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029-84848088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陕西省咸阳市秦都区西里路以西亨浩集团6楼西侧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029-33687895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招标代理服务收费管理暂行办法的通知》（计价格【2002】1980号）和《国家发展改革委关于降低部分建设项目收费标准规范收费行为等有关问题的通知》（发改办价格【2011】534号）文件规定，按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西安市鄠邑区涝河管理站</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西安市鄠邑区涝河管理站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西安市鄠邑区涝河管理站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联系人：董洁</w:t>
      </w:r>
    </w:p>
    <w:p>
      <w:pPr>
        <w:pStyle w:val="null3"/>
      </w:pPr>
      <w:r>
        <w:rPr>
          <w:rFonts w:ascii="仿宋_GB2312" w:hAnsi="仿宋_GB2312" w:cs="仿宋_GB2312" w:eastAsia="仿宋_GB2312"/>
        </w:rPr>
        <w:t>联系电话：029-33687895</w:t>
      </w:r>
    </w:p>
    <w:p>
      <w:pPr>
        <w:pStyle w:val="null3"/>
      </w:pPr>
      <w:r>
        <w:rPr>
          <w:rFonts w:ascii="仿宋_GB2312" w:hAnsi="仿宋_GB2312" w:cs="仿宋_GB2312" w:eastAsia="仿宋_GB2312"/>
        </w:rPr>
        <w:t>地址：陕西省咸阳市秦都区西里路以西亨浩集团6楼西侧</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对涝河上起零号坝，下至涝河入渭口段实施维修养护，河道长度共32.132km，左右岸堤防共63.814km；对甘河下游段左右岸堤防 10km 实施维修养护。主要内容有堤顶维修养护、堤坡除草、堤防工程及管护设施维修养护、堤顶道路维护、河道日常巡查。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1,220,000.00</w:t>
      </w:r>
    </w:p>
    <w:p>
      <w:pPr>
        <w:pStyle w:val="null3"/>
      </w:pPr>
      <w:r>
        <w:rPr>
          <w:rFonts w:ascii="仿宋_GB2312" w:hAnsi="仿宋_GB2312" w:cs="仿宋_GB2312" w:eastAsia="仿宋_GB2312"/>
        </w:rPr>
        <w:t>采购包最高限价（元）: 1,220,000.00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对涝河零号坝至涝河入渭口左右岸堤防63.814公里及甘河下游段堤防左右岸10公里进行日常保洁及养护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标的名称：对涝河零号坝至涝河入渭口左右岸堤防63.814公里及甘河下游段堤防左右岸10公里进行日常保洁及养护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一、服务内容</w:t>
            </w:r>
          </w:p>
          <w:p>
            <w:pPr>
              <w:pStyle w:val="null3"/>
              <w:ind w:firstLine="420"/>
              <w:jc w:val="left"/>
            </w:pPr>
            <w:r>
              <w:rPr>
                <w:rFonts w:ascii="仿宋_GB2312" w:hAnsi="仿宋_GB2312" w:cs="仿宋_GB2312" w:eastAsia="仿宋_GB2312"/>
                <w:sz w:val="21"/>
              </w:rPr>
              <w:t>1、维修养护范围：①涝河段上起涝河零号坝，下至涝河入渭口，河道长度共约32.132km，左右岸堤防共63.814km；②甘河下游段堤防左右岸共10km。</w:t>
            </w:r>
          </w:p>
          <w:p>
            <w:pPr>
              <w:pStyle w:val="null3"/>
              <w:ind w:firstLine="420"/>
              <w:jc w:val="left"/>
            </w:pPr>
            <w:r>
              <w:rPr>
                <w:rFonts w:ascii="仿宋_GB2312" w:hAnsi="仿宋_GB2312" w:cs="仿宋_GB2312" w:eastAsia="仿宋_GB2312"/>
                <w:sz w:val="21"/>
              </w:rPr>
              <w:t>2、维修养护内容：</w:t>
            </w:r>
          </w:p>
          <w:p>
            <w:pPr>
              <w:pStyle w:val="null3"/>
              <w:spacing w:before="105" w:after="105"/>
              <w:ind w:firstLine="420"/>
              <w:jc w:val="left"/>
            </w:pPr>
            <w:r>
              <w:rPr>
                <w:rFonts w:ascii="仿宋_GB2312" w:hAnsi="仿宋_GB2312" w:cs="仿宋_GB2312" w:eastAsia="仿宋_GB2312"/>
                <w:sz w:val="21"/>
              </w:rPr>
              <w:t>1.堤顶日常养护：对涝河段左右岸63.814km、甘河下游段左右岸10km堤顶进行日常保洁及养护，包括清洗、刷漆、维护等，对堤顶垃圾进行清理；</w:t>
            </w:r>
          </w:p>
          <w:p>
            <w:pPr>
              <w:pStyle w:val="null3"/>
              <w:spacing w:before="105" w:after="105"/>
              <w:ind w:firstLine="420"/>
              <w:jc w:val="left"/>
            </w:pPr>
            <w:r>
              <w:rPr>
                <w:rFonts w:ascii="仿宋_GB2312" w:hAnsi="仿宋_GB2312" w:cs="仿宋_GB2312" w:eastAsia="仿宋_GB2312"/>
                <w:sz w:val="21"/>
              </w:rPr>
              <w:t>2.堤坡除草：堤坡除草面积共12.8万㎡，其中涝河9.5万㎡，甘河下游段3.3万㎡；</w:t>
            </w:r>
          </w:p>
          <w:p>
            <w:pPr>
              <w:pStyle w:val="null3"/>
              <w:spacing w:before="105" w:after="105"/>
              <w:ind w:firstLine="420"/>
              <w:jc w:val="left"/>
            </w:pPr>
            <w:r>
              <w:rPr>
                <w:rFonts w:ascii="仿宋_GB2312" w:hAnsi="仿宋_GB2312" w:cs="仿宋_GB2312" w:eastAsia="仿宋_GB2312"/>
                <w:sz w:val="21"/>
              </w:rPr>
              <w:t>3.堤防工程及管护设施维修养护：其中堤坡平整土方4106.6m³，管护设施维护警示牌（碑）维护36个，限高栏8处，安全监控2处，防汛广播5个；</w:t>
            </w:r>
          </w:p>
          <w:p>
            <w:pPr>
              <w:pStyle w:val="null3"/>
              <w:spacing w:before="105" w:after="105"/>
              <w:ind w:firstLine="420"/>
              <w:jc w:val="left"/>
            </w:pPr>
            <w:r>
              <w:rPr>
                <w:rFonts w:ascii="仿宋_GB2312" w:hAnsi="仿宋_GB2312" w:cs="仿宋_GB2312" w:eastAsia="仿宋_GB2312"/>
                <w:sz w:val="21"/>
              </w:rPr>
              <w:t>4、堤顶道路维护：包括养护土方3123m³，堤顶洒水33.9台班，堤顶刮平44.5台班；</w:t>
            </w:r>
          </w:p>
          <w:p>
            <w:pPr>
              <w:pStyle w:val="null3"/>
              <w:spacing w:before="105" w:after="105"/>
              <w:ind w:firstLine="420"/>
              <w:jc w:val="left"/>
            </w:pPr>
            <w:r>
              <w:rPr>
                <w:rFonts w:ascii="仿宋_GB2312" w:hAnsi="仿宋_GB2312" w:cs="仿宋_GB2312" w:eastAsia="仿宋_GB2312"/>
                <w:sz w:val="21"/>
              </w:rPr>
              <w:t>5.河道日常巡查：对维修养护河段进行河道日常巡查；</w:t>
            </w:r>
          </w:p>
          <w:p>
            <w:pPr>
              <w:pStyle w:val="null3"/>
              <w:ind w:firstLine="420"/>
              <w:jc w:val="left"/>
            </w:pPr>
            <w:r>
              <w:rPr>
                <w:rFonts w:ascii="仿宋_GB2312" w:hAnsi="仿宋_GB2312" w:cs="仿宋_GB2312" w:eastAsia="仿宋_GB2312"/>
                <w:sz w:val="21"/>
              </w:rPr>
              <w:t>6.其它:对涝河廊桥上游河道内影响行洪的7950棵树木进行清理。</w:t>
            </w:r>
          </w:p>
          <w:p>
            <w:pPr>
              <w:pStyle w:val="null3"/>
              <w:ind w:firstLine="420"/>
              <w:jc w:val="left"/>
            </w:pPr>
            <w:r>
              <w:rPr>
                <w:rFonts w:ascii="仿宋_GB2312" w:hAnsi="仿宋_GB2312" w:cs="仿宋_GB2312" w:eastAsia="仿宋_GB2312"/>
                <w:sz w:val="21"/>
              </w:rPr>
              <w:t>二、服务要求</w:t>
            </w:r>
          </w:p>
          <w:p>
            <w:pPr>
              <w:pStyle w:val="null3"/>
              <w:ind w:firstLine="420"/>
              <w:jc w:val="left"/>
            </w:pPr>
            <w:r>
              <w:rPr>
                <w:rFonts w:ascii="仿宋_GB2312" w:hAnsi="仿宋_GB2312" w:cs="仿宋_GB2312" w:eastAsia="仿宋_GB2312"/>
                <w:sz w:val="21"/>
              </w:rPr>
              <w:t>1、承包人应建立质量保证体系，选派有经验的维修养护技术人员对维修养护工作的各个环节的质量进行检查，及时向发包人报告检查中发现的问题，并提供必要的资料。</w:t>
            </w:r>
          </w:p>
          <w:p>
            <w:pPr>
              <w:pStyle w:val="null3"/>
              <w:ind w:firstLine="420"/>
              <w:jc w:val="left"/>
            </w:pPr>
            <w:r>
              <w:rPr>
                <w:rFonts w:ascii="仿宋_GB2312" w:hAnsi="仿宋_GB2312" w:cs="仿宋_GB2312" w:eastAsia="仿宋_GB2312"/>
                <w:sz w:val="21"/>
              </w:rPr>
              <w:t>2、单项维修养护工作完成后，承包人应认真进行质量检查，符合项目维修养护标准后，报请发包人检查验收。</w:t>
            </w:r>
          </w:p>
          <w:p>
            <w:pPr>
              <w:pStyle w:val="null3"/>
              <w:ind w:firstLine="420"/>
              <w:jc w:val="left"/>
            </w:pPr>
            <w:r>
              <w:rPr>
                <w:rFonts w:ascii="仿宋_GB2312" w:hAnsi="仿宋_GB2312" w:cs="仿宋_GB2312" w:eastAsia="仿宋_GB2312"/>
                <w:sz w:val="21"/>
              </w:rPr>
              <w:t>3、承包人应教育维修养护人员遵纪守法，维护工地社会治安，协助治安管理机构做好治安保卫工作。</w:t>
            </w:r>
          </w:p>
          <w:p>
            <w:pPr>
              <w:pStyle w:val="null3"/>
              <w:ind w:firstLine="420"/>
              <w:jc w:val="left"/>
            </w:pPr>
            <w:r>
              <w:rPr>
                <w:rFonts w:ascii="仿宋_GB2312" w:hAnsi="仿宋_GB2312" w:cs="仿宋_GB2312" w:eastAsia="仿宋_GB2312"/>
                <w:sz w:val="21"/>
              </w:rPr>
              <w:t>4、承包人应对劳动保护、照明安全等安全防护工作负责，并制定安全防护规程，定期召开安全会议进行安全教育。在工作范围内设置必要的标志和信号。</w:t>
            </w:r>
          </w:p>
          <w:p>
            <w:pPr>
              <w:pStyle w:val="null3"/>
              <w:ind w:firstLine="420"/>
              <w:jc w:val="left"/>
            </w:pPr>
            <w:r>
              <w:rPr>
                <w:rFonts w:ascii="仿宋_GB2312" w:hAnsi="仿宋_GB2312" w:cs="仿宋_GB2312" w:eastAsia="仿宋_GB2312"/>
                <w:sz w:val="21"/>
              </w:rPr>
              <w:t>5、承包人应遵守国家和地方有关环境保护的法规、规章，禁止随意弃土、堆放材料，禁止在河道内清洗装贮过油类或者有毒污染物的车辆、容器，不得使有害物质（扬尘、废水、废油）污染土地、河流。若因违反环境的有关规定而受到处罚或要求赔偿，承包人应负全部责任。</w:t>
            </w:r>
          </w:p>
          <w:p>
            <w:pPr>
              <w:pStyle w:val="null3"/>
              <w:ind w:firstLine="420"/>
              <w:jc w:val="left"/>
            </w:pPr>
            <w:r>
              <w:rPr>
                <w:rFonts w:ascii="仿宋_GB2312" w:hAnsi="仿宋_GB2312" w:cs="仿宋_GB2312" w:eastAsia="仿宋_GB2312"/>
                <w:sz w:val="21"/>
              </w:rPr>
              <w:t>6、承包人应保持维修养护区和生活区的环境卫生，设置足够的临时卫生设施，定期清理维修养护废弃物和垃圾，并将其运至指定地点进行处理。</w:t>
            </w:r>
          </w:p>
          <w:p>
            <w:pPr>
              <w:pStyle w:val="null3"/>
              <w:spacing w:before="105" w:after="105"/>
              <w:ind w:firstLine="420"/>
              <w:jc w:val="left"/>
            </w:pPr>
            <w:r>
              <w:rPr>
                <w:rFonts w:ascii="仿宋_GB2312" w:hAnsi="仿宋_GB2312" w:cs="仿宋_GB2312" w:eastAsia="仿宋_GB2312"/>
                <w:sz w:val="21"/>
              </w:rPr>
              <w:t>7、在全部维修养护工作完成后，除已征得发包人同意的外，承包人必须拆除一切应该拆除的临时维修养护设施和临时生活设施。拆除后的场地应彻底清理。凡发包人决定保留的设施，由发包人与承包人协商解决处理的办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合同签订且财政资金下达后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服务费用按照养护进度按季度支付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服务费用按照养护进度按季度支付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服务费用按照养护进度按季度支付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服务费用按照养护进度按季度支付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违约责任以甲乙双方签订合同时洽谈的条款为准。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小微企业采购，采购标的所属行业为：其他未列明行业。从业人员300人以下的为中小微型企业。其中，从业人员100人及以上的为中型企业；从业人员10人及以上的为小型企业；从业人员10人以下的为微型企业。2.本项目通过电子化交易系统协商，供应商需在电子化交易系统上传响应的文件。成交供应商领取中标（成交）通知书时，向采购代理机构提供一正两副纸质响应文件及电子U盘2个（签字盖章扫描PDF和word文档格式，U盘存储）。3.供应商应自协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法定代表人直接参加的须提供法定代表人身份证并与营业执照上信息一致；法定代表人授权代表参加的须提供法定代表人授权书及被授权人在本单位证明（养老保险缴纳证明或劳动合同）。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截止至响应文件递交截止时间之前，供应商未被“信用中国”（www.creditchina.gov.cn）或“中国执行信息公开网”（http://zxgk.court.gov.cn/shixi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中小企业声明函 供应商认为需要提供的其他材料.docx 报价表 响应方案.docx 响应文件封面 分项报价表.docx 供应商应提交的相关资格证明材料.docx 拒绝贿赂承诺书.docx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响应函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采购内容提出适用于本项目的维修养护方案，方案包括：①堤顶维修养护方案；②堤坡维修养护方案；③附属设施维护方案；④堤顶道路维修养护方案；⑤河道日常巡查方案；⑥河道内树木清理方案；⑦防火、防汛方案。 二、评审标准 1、完整性：方案必须全面，对评审内容中的各项要求有详细描述； 2、针对性：方案能够紧扣项目实际情况，内容科学合理； 3、可实施性：切合本项目实际情况，提出步骤清晰、合理的方案。 三、赋分标准（满分21分） ①堤顶维修养护方案：每完全满足一个评审标准得1分；针对评审标准存在有不合理处的得0.5分；内容与本项目无关或未提供的得0分。 ②堤坡维修养护方案：每完全满足一个评审标准得1分；针对评审标准存在有不合理处的得0.5分；内容与本项目无关或未提供的得0分。 ③附属设施维护方案：每完全满足一个评审标准得1分；针对评审标准存在有不合理处的得0.5分；内容与本项目无关或未提供的得0分。 ④堤顶道路维修养护方案：每完全满足一个评审标准得1分；针对评审标准存在有不合理处的得0.5分；内容与本项目无关或未提供的得0分。 ⑤河道日常巡查方案：每完全满足一个评审标准得1分；针对评审标准存在有不合理处的得0.5分；内容与本项目无关或未提供的得0分。 ⑥河道内树木清理方案：每完全满足一个评审标准得1分；针对评审标准存在有不合理处的得0.5分；内容与本项目无关或未提供的得0分。 ⑦防火、防汛方案：每完全满足一个评审标准得1分；针对评审标准存在有不合理处的得0.5分；内容与本项目无关或未提供的得0分。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工作过程中对环境的保护方案</w:t>
            </w:r>
          </w:p>
        </w:tc>
        <w:tc>
          <w:tcPr>
            <w:tcW w:type="dxa" w:w="2492"/>
          </w:tcPr>
          <w:p>
            <w:pPr>
              <w:pStyle w:val="null3"/>
            </w:pPr>
            <w:r>
              <w:rPr>
                <w:rFonts w:ascii="仿宋_GB2312" w:hAnsi="仿宋_GB2312" w:cs="仿宋_GB2312" w:eastAsia="仿宋_GB2312"/>
              </w:rPr>
              <w:t>一、评审内容 针对采购内容提出适用于本项目的工作过程中对环境的保护方案，方案包括：①水环境保护方案；②工作环境卫生保护方案；③预防和动态控制措施及制度等。 二、评审标准 1、完整性：方案必须全面，对评审内容中的各项要求有详细描述； 2、针对性：方案能够紧扣项目实际情况，内容科学合理； 3、可实施性：切合本项目实际情况，提出步骤清晰、合理的方案。 三、赋分标准（满分9分） ①水环境保护方案：每完全满足一个评审标准得1分；针对评审标准存在有不合理处的得0.5分；内容与本项目无关或未提供的得0分。 ②工作环境卫生保护方案：每完全满足一个评审标准得1分；针对评审标准存在有不合理处的得0.5分；内容与本项目无关或未提供的得0分。 ③预防和动态控制措施及制度等：每完全满足一个评审标准得1分；针对评审标准存在有不合理处的得0.5分；内容与本项目无关或未提供的得0分。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障措施；②应急保障措施；③作业安全等各项安全保障措施；④服务自检流程及自我考核体系；⑤施工所投入的材料等产品质量的保障措施；⑥项目进度计划与措施。 二、评审标准 1、完整性：方案必须全面，对评审内容中的各项要求有详细描述； 2、针对性：方案能够紧扣项目实际情况，内容科学合理； 3、可实施性：切合本项目实际情况，提出步骤清晰、合理的方案。 三、赋分标准（满分18分） ①服务质量保障措施：每完全满足一个评审标准得1分；针对评审标准存在有不合理处的得0.5分；内容与本项目无关或未提供的得0分。 ②应急保障措施：每完全满足一个评审标准得1分；针对评审标准存在有不合理处的得0.5分；内容与本项目无关或未提供的得0分。 ③作业安全等各项安全保障措施：每完全满足一个评审标准得1分；针对评审标准存在有不合理处的得0.5分；内容与本项目无关或未提供的得0分。 ④服务自检流程及自我考核体系：每完全满足一个评审标准得1分；针对评审标准存在有不合理处的得0.5分；内容与本项目无关或未提供的得0分。 ⑤施工所投入的材料等产品质量的保障措施：每完全满足一个评审标准得1分；针对评审标准存在有不合理处的得0.5分；内容与本项目无关或未提供的得0分。⑥项目进度计划与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人员配置方案及维护设备、机具配置方案</w:t>
            </w:r>
          </w:p>
        </w:tc>
        <w:tc>
          <w:tcPr>
            <w:tcW w:type="dxa" w:w="2492"/>
          </w:tcPr>
          <w:p>
            <w:pPr>
              <w:pStyle w:val="null3"/>
            </w:pPr>
            <w:r>
              <w:rPr>
                <w:rFonts w:ascii="仿宋_GB2312" w:hAnsi="仿宋_GB2312" w:cs="仿宋_GB2312" w:eastAsia="仿宋_GB2312"/>
              </w:rPr>
              <w:t>一、评审内容 针对采购内容提出适用于本项目的人员配置方案及维护设备、机具配置方案，方案包括：①人员配置方案；②维护设备、机具配置方案。 二、评审标准 1、完整性：方案必须全面，对评审内容中的各项要求有详细描述； 2、针对性：方案能够紧扣项目实际情况，内容合理； 3、科学性：切合本项目实际情况，提出科学、合理配置的方案。 三、赋分标准（满分6分） ①人员配置方案：每完全满足一个评审标准得1分；针对评审标准存在有不合理处的得0.5分；内容与本项目无关或未提供的得0分。 ②维护设备、机具配置方案：每完全满足一个评审标准得1分；针对评审标准存在有不合理处的得0.5分；内容与本项目无关或未提供的得0分。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关键点、重难点分析及合理化建议</w:t>
            </w:r>
          </w:p>
        </w:tc>
        <w:tc>
          <w:tcPr>
            <w:tcW w:type="dxa" w:w="2492"/>
          </w:tcPr>
          <w:p>
            <w:pPr>
              <w:pStyle w:val="null3"/>
            </w:pPr>
            <w:r>
              <w:rPr>
                <w:rFonts w:ascii="仿宋_GB2312" w:hAnsi="仿宋_GB2312" w:cs="仿宋_GB2312" w:eastAsia="仿宋_GB2312"/>
              </w:rPr>
              <w:t>一、评审内容 针对项目提出项目实施过程中的关键点、重难点分析及相关措施，并提出有利项目实施的合理化建议，内容包括：①关键点、重难点分析；②合理化建议。 二、评审标准 1、完整性：建议内容全面，对采购内容中的各项相关内容有详细描述； 2、针对性：建议能够紧扣项目实际情况，内容科学合理； 3、可实施性：切合本项目实际情况，提出步骤清晰、合理的解决方案。 三、赋分标准（满分6分） ①关键点、重难点分析：每完全满足一个评审标准得1分；针对评审标准存在有不合理处的得0.5分；内容与本项目无关或未提供的得0分； ②合理化建议：每完全满足一个评审标准得1分；针对评审标准存在有不合理处的得0.5分；内容与本项目无关或未提供的得0分。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一、评审内容 针对项目提出详细培训方案，内容包括①科学作业培训②重点难点及安全应急培训。 二、评审标准 1、完整性：方案必须全面，对评审内容中的各项要求有详细描述； 2、针对性：方案能够紧扣项目实际情况，内容合理； 3、科学性：切合本项目实际情况，提出科学、合理配置的方案 三、赋分标准（满分6分）①科学作业培训：每完全满足一个评审标准得1分；针对评审标准存在有不合理处的得0.5分；内容与本项目无关或未提供的得0分。②重点难点及安全应急培训：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内容包括①对采购内容的相关养护质量、维修质量一致性、稳定性等内容做出承诺；②投标人对配合采购人重大活动等内容做出承诺；③对服务期内应急情况下的响应时间等做出承诺；④配合采购人对精细化管理目标实现做出承诺；⑤对市民服务及市民意见处理的专项承诺。 二、评审标准 1、完整性：方案必须全面，对评审内容中的各项要求有详细描述； 2、针对性：方案能够紧扣项目实际情况，内容科学合理； 3、可实施性：切合本项目实际情况，提出步骤清晰、合理的方案。 三、赋分标准（满分15分） ①对采购内容的相关养护质量、维修质量一致性、稳定性等内容做出承诺：每完全满足一个评审标准得1分；针对评审标准存在有不合理处的得0.5分；内容与本项目无关或未提供的得0分。 ②投标人对配合采购人重大活动等内容做出承诺：每完全满足一个评审标准得1分；针对评审标准存在有不合理处的得0.5分；内容与本项目无关或未提供的得0分。 ③对服务期内应急情况下的响应时间等做出承诺：每完全满足一个评审标准得1分；针对评审标准存在有不合理处的得0.5分；内容与本项目无关或未提供的得0分。 ④配合采购人对精细化管理目标实现做出承诺：每完全满足一个评审标准得1分；针对评审标准存在有不合理处的得0.5分；内容与本项目无关或未提供的得0分。 ⑤对市民服务及市民意见处理的专项承诺：每完全满足一个评审标准得1分；针对评审标准存在有不合理处的得0.5分；内容与本项目无关或未提供的得0分。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供应商近三年（自2023年1月1日起至今，以合同签订时间为准）类似项目，一个项目得3分，最高9分。（以合同复印件加盖公章为准）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价格分统一采用低价优先法计算，即满足招标文件要求且最低的投标报价为基准价，其价格分为满分。其他投标人的价格分统一按照下列公式计算：价格分=(基准价／投标报价)×10。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详见附件：供应商认为需要提供的其他材料.docx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