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版本号：241017001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西安浐灞国际港(浐灞片区)2024年城市生活垃圾处理服务</w:t>
      </w:r>
    </w:p>
    <w:p>
      <w:pPr>
        <w:pStyle w:val="null3"/>
        <w:jc w:val="center"/>
        <w:outlineLvl w:val="2"/>
      </w:pPr>
      <w:r>
        <w:rPr>
          <w:sz w:val="28"/>
          <w:b/>
        </w:rPr>
        <w:t>采购项目编号：</w:t>
      </w:r>
      <w:r>
        <w:rPr>
          <w:sz w:val="28"/>
          <w:b/>
        </w:rPr>
        <w:t>GWZC-2024-147</w:t>
      </w:r>
      <w:r>
        <w:br/>
      </w:r>
      <w:r>
        <w:br/>
      </w:r>
      <w:r>
        <w:br/>
      </w:r>
    </w:p>
    <w:p>
      <w:pPr>
        <w:pStyle w:val="null3"/>
        <w:jc w:val="center"/>
        <w:outlineLvl w:val="2"/>
      </w:pPr>
      <w:r>
        <w:rPr>
          <w:sz w:val="28"/>
          <w:b/>
        </w:rPr>
        <w:t>西安浐灞国际港城市管理和综合执法局</w:t>
      </w:r>
    </w:p>
    <w:p>
      <w:pPr>
        <w:pStyle w:val="null3"/>
        <w:jc w:val="center"/>
        <w:outlineLvl w:val="2"/>
      </w:pPr>
      <w:r>
        <w:rPr>
          <w:sz w:val="28"/>
          <w:b/>
        </w:rPr>
        <w:t>陕西慧科工程管理咨询有限公司</w:t>
      </w:r>
      <w:r>
        <w:rPr>
          <w:sz w:val="28"/>
          <w:b/>
        </w:rPr>
        <w:t>共同编制</w:t>
      </w:r>
    </w:p>
    <w:p>
      <w:pPr>
        <w:pStyle w:val="null3"/>
        <w:jc w:val="center"/>
        <w:outlineLvl w:val="2"/>
      </w:pPr>
      <w:r>
        <w:rPr>
          <w:sz w:val="28"/>
          <w:b/>
        </w:rPr>
        <w:t>2024年10月17日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陕西慧科工程管理咨询有限公司</w:t>
      </w:r>
      <w:r>
        <w:rPr/>
        <w:t>（以下简称“代理机构”）受</w:t>
      </w:r>
      <w:r>
        <w:rPr/>
        <w:t>西安浐灞国际港城市管理和综合执法局</w:t>
      </w:r>
      <w:r>
        <w:rPr/>
        <w:t>委托，拟对</w:t>
      </w:r>
      <w:r>
        <w:rPr/>
        <w:t>西安浐灞国际港(浐灞片区)2024年城市生活垃圾处理服务</w:t>
      </w:r>
      <w:r>
        <w:rPr/>
        <w:t>采用竞争性磋商采购方式进行采购，兹邀请供应商参加本项目的竞争性磋商。</w:t>
      </w:r>
    </w:p>
    <w:p>
      <w:pPr>
        <w:pStyle w:val="null3"/>
        <w:outlineLvl w:val="2"/>
      </w:pPr>
      <w:r>
        <w:rPr>
          <w:sz w:val="28"/>
          <w:b/>
        </w:rPr>
        <w:t>一、项目编号：</w:t>
      </w:r>
      <w:r>
        <w:rPr>
          <w:sz w:val="28"/>
          <w:b/>
        </w:rPr>
        <w:t>GWZC-2024-147</w:t>
      </w:r>
    </w:p>
    <w:p>
      <w:pPr>
        <w:pStyle w:val="null3"/>
        <w:outlineLvl w:val="2"/>
      </w:pPr>
      <w:r>
        <w:rPr>
          <w:sz w:val="28"/>
          <w:b/>
        </w:rPr>
        <w:t>二、项目名称：</w:t>
      </w:r>
      <w:r>
        <w:rPr>
          <w:sz w:val="28"/>
          <w:b/>
        </w:rPr>
        <w:t>西安浐灞国际港(浐灞片区)2024年城市生活垃圾处理服务</w:t>
      </w:r>
    </w:p>
    <w:p>
      <w:pPr>
        <w:pStyle w:val="null3"/>
        <w:outlineLvl w:val="2"/>
      </w:pPr>
      <w:r>
        <w:rPr>
          <w:sz w:val="28"/>
          <w:b/>
        </w:rPr>
        <w:t>三、磋商项目简介</w:t>
      </w:r>
    </w:p>
    <w:p>
      <w:pPr>
        <w:pStyle w:val="null3"/>
        <w:ind w:firstLine="480"/>
      </w:pPr>
      <w:r>
        <w:rPr/>
        <w:t>进一步营造全民参与的垃圾分类氛围，巩固提升西安浐灞国际港务区垃圾分类工作实效，推进浐灞国际港高质量发展，拟选第三方服务单位开展西安浐灞国际港（浐灞片区）生活垃圾分类处理服务工作。</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采购包1（西安浐灞国际港(浐灞片区)2024年城市生活垃圾处理服务）：属于专门面向中小企业采购。</w:t>
      </w:r>
    </w:p>
    <w:p>
      <w:pPr>
        <w:pStyle w:val="null3"/>
        <w:ind w:firstLine="480"/>
      </w:pPr>
      <w:r>
        <w:rPr/>
        <w:t>（三）本项目的特定资格要求：</w:t>
      </w:r>
    </w:p>
    <w:p>
      <w:pPr>
        <w:pStyle w:val="null3"/>
      </w:pPr>
      <w:r>
        <w:rPr/>
        <w:t>采购包1：</w:t>
      </w:r>
    </w:p>
    <w:p>
      <w:pPr>
        <w:pStyle w:val="null3"/>
      </w:pPr>
      <w:r>
        <w:rPr/>
        <w:t>1、有效的主体资格证明：供应商为合法注册的法人、其他组织或自然人，提供营业执照等证明文件</w:t>
      </w:r>
    </w:p>
    <w:p>
      <w:pPr>
        <w:pStyle w:val="null3"/>
      </w:pPr>
      <w:r>
        <w:rPr/>
        <w:t>2、财务状况报告（任选其一）：供应商2023年度经审计的财务报告或响应文件递交截止时间前三个月内其基本开户银行出具的资信证明及账户开户许可证明材料或财政部门认可的政府采购专业担保机构开具的担保函</w:t>
      </w:r>
    </w:p>
    <w:p>
      <w:pPr>
        <w:pStyle w:val="null3"/>
      </w:pPr>
      <w:r>
        <w:rPr/>
        <w:t>3、税收缴纳证明：提供响应文件递交截止日前一年内已缴存的至少一个月的纳税证明或完税证明。依法免税的供应商应提供相关文件证明</w:t>
      </w:r>
    </w:p>
    <w:p>
      <w:pPr>
        <w:pStyle w:val="null3"/>
      </w:pPr>
      <w:r>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t>5、专业技术能力的声明：提供具有履行本合同所必需的设备和专业技术能力的声明或承诺</w:t>
      </w:r>
    </w:p>
    <w:p>
      <w:pPr>
        <w:pStyle w:val="null3"/>
      </w:pPr>
      <w:r>
        <w:rPr/>
        <w:t>6、没有重大违法记录的书面声明：提供参加政府采购活动前三年内在经营活动中没有重大违法记录的书面声明</w:t>
      </w:r>
    </w:p>
    <w:p>
      <w:pPr>
        <w:pStyle w:val="null3"/>
      </w:pPr>
      <w:r>
        <w:rPr/>
        <w:t>7、供应商信用：不得为“信用中国”网站(http://www.creditchina.gov.cn)列入“失信被执行人、重大税收违法失信主体”的供应商；不得为中国政府采购网(http://www.ccgp.gov.cn)“政府采购严重违法失信行为记录名单”中的供应商</w:t>
      </w:r>
    </w:p>
    <w:p>
      <w:pPr>
        <w:pStyle w:val="null3"/>
      </w:pPr>
      <w:r>
        <w:rPr/>
        <w:t>8、关联关系说明：单位负责人为同一人或者存在直接控股、管理关系的不同供应商，不得参加同一合同项下的采购活动</w:t>
      </w:r>
    </w:p>
    <w:p>
      <w:pPr>
        <w:pStyle w:val="null3"/>
      </w:pPr>
      <w:r>
        <w:rPr/>
        <w:t>9、非联合承诺：本项目不接受联合体磋商，提供承诺函</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西安浐灞国际港城市管理和综合执法局</w:t>
      </w:r>
    </w:p>
    <w:p>
      <w:pPr>
        <w:pStyle w:val="null3"/>
      </w:pPr>
      <w:r>
        <w:rPr/>
        <w:t xml:space="preserve"> 地址： </w:t>
      </w:r>
      <w:r>
        <w:rPr/>
        <w:t>陕西省西安市灞桥区新筑街道港务大道89号</w:t>
      </w:r>
    </w:p>
    <w:p>
      <w:pPr>
        <w:pStyle w:val="null3"/>
      </w:pPr>
      <w:r>
        <w:rPr/>
        <w:t xml:space="preserve"> 邮编： </w:t>
      </w:r>
      <w:r>
        <w:rPr/>
        <w:t>710026</w:t>
      </w:r>
    </w:p>
    <w:p>
      <w:pPr>
        <w:pStyle w:val="null3"/>
      </w:pPr>
      <w:r>
        <w:rPr/>
        <w:t xml:space="preserve"> 联系人： </w:t>
      </w:r>
      <w:r>
        <w:rPr/>
        <w:t>思老师</w:t>
      </w:r>
    </w:p>
    <w:p>
      <w:pPr>
        <w:pStyle w:val="null3"/>
      </w:pPr>
      <w:r>
        <w:rPr/>
        <w:t xml:space="preserve"> 联系电话： </w:t>
      </w:r>
      <w:r>
        <w:rPr/>
        <w:t>029-81063100</w:t>
      </w:r>
    </w:p>
    <w:p>
      <w:pPr>
        <w:pStyle w:val="null3"/>
        <w:outlineLvl w:val="3"/>
      </w:pPr>
      <w:r>
        <w:rPr>
          <w:sz w:val="24"/>
          <w:b/>
        </w:rPr>
        <w:t>代理机构：</w:t>
      </w:r>
      <w:r>
        <w:rPr>
          <w:sz w:val="24"/>
          <w:b/>
        </w:rPr>
        <w:t>陕西慧科工程管理咨询有限公司</w:t>
      </w:r>
    </w:p>
    <w:p>
      <w:pPr>
        <w:pStyle w:val="null3"/>
      </w:pPr>
      <w:r>
        <w:rPr/>
        <w:t xml:space="preserve"> 地址： </w:t>
      </w:r>
      <w:r>
        <w:rPr/>
        <w:t>西安市高新区锦业一路56号研祥城市广场C座3楼C-306室</w:t>
      </w:r>
    </w:p>
    <w:p>
      <w:pPr>
        <w:pStyle w:val="null3"/>
      </w:pPr>
      <w:r>
        <w:rPr/>
        <w:t xml:space="preserve"> 邮编： </w:t>
      </w:r>
      <w:r>
        <w:rPr/>
        <w:t>710076</w:t>
      </w:r>
    </w:p>
    <w:p>
      <w:pPr>
        <w:pStyle w:val="null3"/>
      </w:pPr>
      <w:r>
        <w:rPr/>
        <w:t xml:space="preserve"> 联系人： </w:t>
      </w:r>
      <w:r>
        <w:rPr/>
        <w:t>李小刚</w:t>
      </w:r>
    </w:p>
    <w:p>
      <w:pPr>
        <w:pStyle w:val="null3"/>
      </w:pPr>
      <w:r>
        <w:rPr/>
        <w:t xml:space="preserve"> 联系电话： </w:t>
      </w:r>
      <w:r>
        <w:rPr/>
        <w:t>029-89384142</w:t>
      </w:r>
    </w:p>
    <w:p>
      <w:pPr>
        <w:pStyle w:val="null3"/>
        <w:outlineLvl w:val="3"/>
      </w:pPr>
      <w:r>
        <w:rPr>
          <w:sz w:val="24"/>
          <w:b/>
        </w:rPr>
        <w:t>采购监督机构：</w:t>
      </w:r>
      <w:r>
        <w:rPr>
          <w:sz w:val="24"/>
          <w:b/>
        </w:rPr>
        <w:t>西安浐灞国际港财政金融局</w:t>
      </w:r>
    </w:p>
    <w:p>
      <w:pPr>
        <w:pStyle w:val="null3"/>
        <w:ind w:firstLine="480"/>
      </w:pPr>
      <w:r>
        <w:rPr/>
        <w:t>联系人：</w:t>
      </w:r>
      <w:r>
        <w:rPr/>
        <w:t>袁老师</w:t>
      </w:r>
    </w:p>
    <w:p>
      <w:pPr>
        <w:pStyle w:val="null3"/>
        <w:ind w:firstLine="480"/>
      </w:pPr>
      <w:r>
        <w:rPr/>
        <w:t>联系电话：</w:t>
      </w:r>
      <w:r>
        <w:rPr/>
        <w:t>029-83521198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采购包1：1,401,500.00元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代理服务费收费标准：1、成交单位在领取成交通知书前，须向采购代理机构支付服务费。 2、服务费由采购人与采购代理机构约定：参照《国家计委关于印发&lt;招标代理服务收费管理暂行办法&gt;的通知》（计价格[2002]1980号）和国家发展改革委员会办公厅颁发的《关于招标代理服务收费有关问题的通知》（发改办价格『2003』857号）规定按标准收取。 缴纳账户如下： 户名：陕西慧科工程管理咨询有限公司 账号：611301135013001841428 开户行：交通银行股份有限公司西安光华路支行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西安浐灞国际港城市管理和综合执法局</w:t>
      </w:r>
      <w:r>
        <w:rPr/>
        <w:t>和</w:t>
      </w:r>
      <w:r>
        <w:rPr/>
        <w:t>陕西慧科工程管理咨询有限公司</w:t>
      </w:r>
      <w:r>
        <w:rPr/>
        <w:t>享有。对磋商文件中供应商参加本次政府采购活动应当具备的条件，磋商项目技术、服务、商务及其他要求，评审细则及标准由</w:t>
      </w:r>
      <w:r>
        <w:rPr/>
        <w:t>西安浐灞国际港城市管理和综合执法局</w:t>
      </w:r>
      <w:r>
        <w:rPr/>
        <w:t>负责解释。除上述磋商文件内容，其他内容由</w:t>
      </w:r>
      <w:r>
        <w:rPr/>
        <w:t>陕西慧科工程管理咨询有限公司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西安浐灞国际港城市管理和综合执法局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陕西慧科工程管理咨询有限公司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1.严格按照《西安市生活垃圾分类管理条例》省、市相关文件要求及行业管理规定进行工作和验收。 2.甲方应及时按规定对乙方服务进行系统验收并出具相关验收证明材料，具体验收时间由双方协商。 3.如属于非甲方的原因致使未通过系统验收，乙方应排除故障，并承担相关费用，直至完全符合验收标准。 4.经验收合格后，垃圾分类运行平台达到相关要求。 5.服务质量符合国家法律法规规定的合格标准、采购文件、响应文件的要求。 6.服务标准应符合《西安浐灞国际港（浐灞片区）2024年生活垃圾处理服务项目标准及评分标准》要求。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陕西慧科工程管理咨询有限公司</w:t>
      </w:r>
      <w:r>
        <w:rPr/>
        <w:t xml:space="preserve"> 负责答复；供应商对除采购需求外的采购文件的询问、质疑由</w:t>
      </w:r>
      <w:r>
        <w:rPr/>
        <w:t>陕西慧科工程管理咨询有限公司</w:t>
      </w:r>
      <w:r>
        <w:rPr/>
        <w:t xml:space="preserve"> 负责答复；供应商对采购过程、采购结果的询问、质疑由 </w:t>
      </w:r>
      <w:r>
        <w:rPr/>
        <w:t>陕西慧科工程管理咨询有限公司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联系人：李小刚</w:t>
      </w:r>
    </w:p>
    <w:p>
      <w:pPr>
        <w:pStyle w:val="null3"/>
      </w:pPr>
      <w:r>
        <w:rPr/>
        <w:t>联系电话：029-89384142</w:t>
      </w:r>
    </w:p>
    <w:p>
      <w:pPr>
        <w:pStyle w:val="null3"/>
      </w:pPr>
      <w:r>
        <w:rPr/>
        <w:t>地址：西安市高新区锦业一路56号研祥城市广场C座3楼C-306室</w:t>
      </w:r>
    </w:p>
    <w:p>
      <w:pPr>
        <w:pStyle w:val="null3"/>
      </w:pPr>
      <w:r>
        <w:rPr/>
        <w:t>邮编：710076</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按照《西安市2024年生活垃圾分类工作实施方案》文件要求，通过大力宣传培训、设施配备、督导检查、科技赋能等手段，进一步营造全民参与的垃圾分类氛围，巩固提升西安浐灞国际港务区垃圾分类工作实效，推进浐灞国际港高质量发展，拟选第三方服务单位开展西安浐灞国际港（浐灞片区）生活垃圾分类处理服务工作。</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1,401,500.00</w:t>
      </w:r>
    </w:p>
    <w:p>
      <w:pPr>
        <w:pStyle w:val="null3"/>
      </w:pPr>
      <w:r>
        <w:rPr/>
        <w:t>采购包最高限价（元）: 1,401,500.00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垃圾处理服务</w:t>
            </w:r>
          </w:p>
        </w:tc>
        <w:tc>
          <w:tcPr>
            <w:tcW w:type="dxa" w:w="831"/>
          </w:tcPr>
          <w:p>
            <w:pPr>
              <w:pStyle w:val="null3"/>
              <w:jc w:val="right"/>
            </w:pPr>
            <w:r>
              <w:rPr/>
              <w:t>1.00</w:t>
            </w:r>
          </w:p>
        </w:tc>
        <w:tc>
          <w:tcPr>
            <w:tcW w:type="dxa" w:w="831"/>
          </w:tcPr>
          <w:p>
            <w:pPr>
              <w:pStyle w:val="null3"/>
              <w:jc w:val="right"/>
            </w:pPr>
            <w:r>
              <w:rPr/>
              <w:t>1,401,500.00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标的名称：垃圾处理服务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simsun" w:hAnsi="simsun" w:cs="simsun" w:eastAsia="simsun"/>
                <w:sz w:val="18"/>
                <w:b/>
              </w:rPr>
              <w:t>一、项目概况</w:t>
            </w:r>
          </w:p>
          <w:p>
            <w:pPr>
              <w:pStyle w:val="null3"/>
            </w:pPr>
            <w:r>
              <w:rPr>
                <w:rFonts w:ascii="simsun" w:hAnsi="simsun" w:cs="simsun" w:eastAsia="simsun"/>
                <w:sz w:val="18"/>
              </w:rPr>
              <w:t>按照《西安市2024年生活垃圾分类工作实施方案》文件要求，通过大力宣传培训、设施配备、督导检查、科技赋能等手段，进一步营造全民参与的垃圾分类氛围，巩固提升我区垃圾分类工作实效，推进浐灞国际港高质量发展，拟选第三方服务单位开展西安浐灞国际港（浐灞片区）生活垃圾分类处理服务工作。</w:t>
            </w:r>
          </w:p>
          <w:p>
            <w:pPr>
              <w:pStyle w:val="null3"/>
            </w:pPr>
            <w:r>
              <w:rPr>
                <w:rFonts w:ascii="simsun" w:hAnsi="simsun" w:cs="simsun" w:eastAsia="simsun"/>
                <w:sz w:val="18"/>
                <w:b/>
              </w:rPr>
              <w:t>二、服务内容</w:t>
            </w:r>
          </w:p>
          <w:p>
            <w:pPr>
              <w:pStyle w:val="null3"/>
            </w:pPr>
            <w:r>
              <w:rPr>
                <w:rFonts w:ascii="simsun" w:hAnsi="simsun" w:cs="simsun" w:eastAsia="simsun"/>
                <w:sz w:val="18"/>
              </w:rPr>
              <w:t>1.服务范围：辖区党政机关、企事业单位、学校医院和酒店商超、公园景区、餐饮门店等单位。</w:t>
            </w:r>
          </w:p>
          <w:p>
            <w:pPr>
              <w:pStyle w:val="null3"/>
            </w:pPr>
            <w:r>
              <w:rPr>
                <w:rFonts w:ascii="simsun" w:hAnsi="simsun" w:cs="simsun" w:eastAsia="simsun"/>
                <w:sz w:val="18"/>
              </w:rPr>
              <w:t>2.服务内容</w:t>
            </w:r>
          </w:p>
          <w:p>
            <w:pPr>
              <w:pStyle w:val="null3"/>
            </w:pPr>
            <w:r>
              <w:rPr>
                <w:rFonts w:ascii="simsun" w:hAnsi="simsun" w:cs="simsun" w:eastAsia="simsun"/>
                <w:sz w:val="18"/>
              </w:rPr>
              <w:t>（1）垃圾分类宣传服务（内容包括日常宣传、大型宣传活动、公众号宣传、宣传单页海报和展板服务等）；</w:t>
            </w:r>
          </w:p>
          <w:p>
            <w:pPr>
              <w:pStyle w:val="null3"/>
            </w:pPr>
            <w:r>
              <w:rPr>
                <w:rFonts w:ascii="simsun" w:hAnsi="simsun" w:cs="simsun" w:eastAsia="simsun"/>
                <w:sz w:val="18"/>
              </w:rPr>
              <w:t>（2）垃圾分类培训服务（内容包括日常培训、宣教基地培训和校园教材服务等）；</w:t>
            </w:r>
          </w:p>
          <w:p>
            <w:pPr>
              <w:pStyle w:val="null3"/>
            </w:pPr>
            <w:r>
              <w:rPr>
                <w:rFonts w:ascii="simsun" w:hAnsi="simsun" w:cs="simsun" w:eastAsia="simsun"/>
                <w:sz w:val="18"/>
              </w:rPr>
              <w:t>（3）“一中心一点一基地”运营服务（内容包括大件垃圾、有害垃圾收运管理，宣教基地提升运营和分类投放容器采购等）；</w:t>
            </w:r>
          </w:p>
          <w:p>
            <w:pPr>
              <w:pStyle w:val="null3"/>
            </w:pPr>
            <w:r>
              <w:rPr>
                <w:rFonts w:ascii="simsun" w:hAnsi="simsun" w:cs="simsun" w:eastAsia="simsun"/>
                <w:sz w:val="18"/>
              </w:rPr>
              <w:t>（4）垃圾分类管理服务（内容包括分类管理运营及人员组建督导宣传、市场调研，微信小程序的运行管理等）。</w:t>
            </w:r>
          </w:p>
          <w:p>
            <w:pPr>
              <w:pStyle w:val="null3"/>
            </w:pPr>
            <w:r>
              <w:rPr>
                <w:rFonts w:ascii="simsun" w:hAnsi="simsun" w:cs="simsun" w:eastAsia="simsun"/>
                <w:sz w:val="18"/>
                <w:b/>
              </w:rPr>
              <w:t>三、技术要求</w:t>
            </w:r>
          </w:p>
          <w:tbl>
            <w:tblPr>
              <w:tblBorders>
                <w:top w:val="none" w:color="000000" w:sz="4"/>
                <w:left w:val="none" w:color="000000" w:sz="4"/>
                <w:bottom w:val="none" w:color="000000" w:sz="4"/>
                <w:right w:val="none" w:color="000000" w:sz="4"/>
                <w:insideH w:val="none"/>
                <w:insideV w:val="none"/>
              </w:tblBorders>
            </w:tblPr>
            <w:tblGrid>
              <w:gridCol w:w="260"/>
              <w:gridCol w:w="384"/>
              <w:gridCol w:w="384"/>
              <w:gridCol w:w="883"/>
              <w:gridCol w:w="260"/>
              <w:gridCol w:w="384"/>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序号</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服务</w:t>
                  </w:r>
                </w:p>
                <w:p>
                  <w:pPr>
                    <w:pStyle w:val="null3"/>
                    <w:jc w:val="center"/>
                  </w:pPr>
                  <w:r>
                    <w:rPr>
                      <w:rFonts w:ascii="simsun" w:hAnsi="simsun" w:cs="simsun" w:eastAsia="simsun"/>
                      <w:sz w:val="18"/>
                      <w:b/>
                    </w:rPr>
                    <w:t>名称</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内容</w:t>
                  </w:r>
                </w:p>
              </w:tc>
              <w:tc>
                <w:tcPr>
                  <w:tcW w:type="dxa" w:w="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具体要求</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单位</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数量</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垃圾分类宣传服务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宣传活动服务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日常宣传活动开展：协助学校、酒店商超、沿街餐饮商户、单位等组织策划、开展垃圾分类日常宣传活动， 每周不少于2次。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场</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40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大型宣传活动服务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服务期内召开1次大型主题宣传教育活动。</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场</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公众号</w:t>
                  </w:r>
                  <w:r>
                    <w:br/>
                  </w:r>
                  <w:r>
                    <w:rPr>
                      <w:rFonts w:ascii="simsun" w:hAnsi="simsun" w:cs="simsun" w:eastAsia="simsun"/>
                      <w:sz w:val="18"/>
                    </w:rPr>
                    <w:t>宣传服务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公众号日常每周发布不少于2次，所发内容要能充分体现辖区垃圾分类工作开展成效。</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40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公众号根据重大节庆、节气、主题及事件，微信展现中加入叙事长图设计、H5  和原创海报设计等当下流行、易传播的手段，半年不少于3次。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3</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每季度创新策划、拍摄制作关于用户喜闻乐见的垃圾分类原创视频，不少于1 条（2分钟以内），并在抖音号与微信视频号发布。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日常每周在抖音及视频号发布工作动态、宣传活动等视频不少于2 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40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宣传单页海报、展板服务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在辖区内进行垃圾分类宣传单页分发服务，宣传单页内容自主设计，材质应为157g铜纸，尺寸210mm*285mm,正反面印刷。</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8000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提供垃圾分类海报展示服务，海报展示内容自主设计，材质应为250g铜版纸,材质40*60cm。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8000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提供宣传展板展示服务，展板内容自主设计，展板材质应为KT板，1m*2.5m。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20</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垃圾分类培训服务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培训活动服务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制定辖区垃圾分类培训计划，组织对垃圾分类工作者、 执法人员、酒店商超、沿街餐饮商户、在校师生等各行业人员进行专项培训，帮助掌握垃圾分类基础知识，了解政策要求，提升分类实效， 每周不少于2次。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场</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40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宣教基地培训服务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根据区城管局制定的参观计划，安排专人做好宣教基地接待讲解工作，每月不少于1次。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5</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校园教材服务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针对园区内学校制作分发垃圾分类教材读本，分幼儿读本、小学读本及中学读本。</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5000</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3</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“一中心一点一基地”运营服务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提升改造服务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对宣教基地内部展陈、环境进行改造提升，满足业务开展需求。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运营管理服务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做好“一中心一点一基地”日常运营管理、维护等。</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有害垃圾收运、处置服务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配备1辆有害垃圾运输车辆，规范开展有害垃圾收运服务，同有资质的单位签订有毒垃圾处置协议，规范开展辖区各类单位有害垃圾处置工作。</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大件垃圾分拣服务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配备2辆可回收物垃圾运输车辆，规范开展大件垃圾收运服务，并确保台账资料清晰、各类垃圾处置去向清楚。</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配备2名专业分拣工，负责大件垃圾分拣、打包等工作。</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垃圾分类标识服务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提供四分类垃圾分类标识服务，尺寸250*350mm，材质应为车贴材质。</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2000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垃圾分类公示牌服务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垃圾分类责任公示牌KT板+银色型材包边 1000*1200mm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100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宣传礼品服务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在日常宣传培训活动中向宣传培训对象发放洗洁精、卫生纸、手提袋、笔记本等宣传礼品。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垃圾分类投放容器服务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120L，全新PP材质，掀盖，可回收物、厨余垃圾、有害垃圾、其他垃圾四色标识。</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100</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240L，全新PP材质，掀盖，可回收物、厨余垃圾、有害垃圾、其他垃圾四色标识。</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100</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4</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垃圾分类管理服务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运营服务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配备1名有经验的项目经理，负责垃圾分类项目整体运营管理，至少配备9名督导宣传员和1名信息报送员，负责与各单位协调对接，评估垃圾分类效果，组织垃圾分类宣传活动。</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信息化管理服务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simsun" w:hAnsi="simsun" w:cs="simsun" w:eastAsia="simsun"/>
                      <w:sz w:val="18"/>
                    </w:rPr>
                    <w:t>餐饮商户信息化管理，微信小程序研发，日常管理和维护及信息的汇总反馈，包含服务期内流量服务费用。</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r>
              <w:tc>
                <w:tcPr>
                  <w:tcW w:type="dxa" w:w="260"/>
                  <w:vMerge/>
                  <w:tcBorders>
                    <w:top w:val="none" w:color="000000" w:sz="4"/>
                    <w:left w:val="singl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调研服务</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对辖区学校、酒店、商业综合体、企事业单等各类垃圾分类主体单位进行调研，包括垃圾分类知晓率、满意度及根据各类主体单位培训需求，制定各类培训课件。</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r>
          </w:tbl>
          <w:p/>
        </w:tc>
      </w:tr>
      <w:tr>
        <w:tc>
          <w:tcPr>
            <w:tcW w:type="dxa" w:w="2769"/>
          </w:tcPr>
          <w:p>
            <w:pPr>
              <w:pStyle w:val="null3"/>
            </w:pPr>
            <w:r>
              <w:rPr/>
              <w:t>★</w:t>
            </w:r>
          </w:p>
        </w:tc>
        <w:tc>
          <w:tcPr>
            <w:tcW w:type="dxa" w:w="2769"/>
          </w:tcPr>
          <w:p>
            <w:pPr>
              <w:pStyle w:val="null3"/>
            </w:pPr>
            <w:r>
              <w:rPr/>
              <w:t>2</w:t>
            </w:r>
          </w:p>
        </w:tc>
        <w:tc>
          <w:tcPr>
            <w:tcW w:type="dxa" w:w="2769"/>
          </w:tcPr>
          <w:p>
            <w:pPr>
              <w:pStyle w:val="null3"/>
            </w:pPr>
            <w:r>
              <w:rPr>
                <w:rFonts w:ascii="simsun" w:hAnsi="simsun" w:cs="simsun" w:eastAsia="simsun"/>
                <w:sz w:val="18"/>
                <w:b/>
              </w:rPr>
              <w:t>四、人员要求</w:t>
            </w:r>
          </w:p>
          <w:tbl>
            <w:tblPr>
              <w:tblBorders>
                <w:top w:val="none" w:color="000000" w:sz="4"/>
                <w:left w:val="none" w:color="000000" w:sz="4"/>
                <w:bottom w:val="none" w:color="000000" w:sz="4"/>
                <w:right w:val="none" w:color="000000" w:sz="4"/>
                <w:insideH w:val="none"/>
                <w:insideV w:val="none"/>
              </w:tblBorders>
            </w:tblPr>
            <w:tblGrid>
              <w:gridCol w:w="948"/>
              <w:gridCol w:w="460"/>
              <w:gridCol w:w="1145"/>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岗位</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人数</w:t>
                  </w:r>
                </w:p>
              </w:tc>
              <w:tc>
                <w:tcPr>
                  <w:tcW w:type="dxa" w:w="1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要求</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项目经理</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全日制本科以上学历</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宣传岗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本科及以上学历</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培训岗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本科及以上学历</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信息报送岗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本科及以上学历</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督导检查岗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4</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本科及以上学历，具有c型（包含）以上准驾资格</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一中心一暂存点</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2</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大件拆分：2人</w:t>
                  </w:r>
                </w:p>
              </w:tc>
            </w:tr>
          </w:tbl>
          <w:p/>
        </w:tc>
      </w:tr>
      <w:tr>
        <w:tc>
          <w:tcPr>
            <w:tcW w:type="dxa" w:w="2769"/>
          </w:tcPr>
          <w:p>
            <w:pPr>
              <w:pStyle w:val="null3"/>
            </w:pPr>
            <w:r>
              <w:rPr/>
              <w:t>★</w:t>
            </w:r>
          </w:p>
        </w:tc>
        <w:tc>
          <w:tcPr>
            <w:tcW w:type="dxa" w:w="2769"/>
          </w:tcPr>
          <w:p>
            <w:pPr>
              <w:pStyle w:val="null3"/>
            </w:pPr>
            <w:r>
              <w:rPr/>
              <w:t>3</w:t>
            </w:r>
          </w:p>
        </w:tc>
        <w:tc>
          <w:tcPr>
            <w:tcW w:type="dxa" w:w="2769"/>
          </w:tcPr>
          <w:p>
            <w:pPr>
              <w:pStyle w:val="null3"/>
            </w:pPr>
            <w:r>
              <w:rPr>
                <w:rFonts w:ascii="simsun" w:hAnsi="simsun" w:cs="simsun" w:eastAsia="simsun"/>
                <w:sz w:val="18"/>
                <w:b/>
              </w:rPr>
              <w:t>五、其他</w:t>
            </w:r>
          </w:p>
          <w:p>
            <w:pPr>
              <w:pStyle w:val="null3"/>
            </w:pPr>
            <w:r>
              <w:rPr>
                <w:rFonts w:ascii="simsun" w:hAnsi="simsun" w:cs="simsun" w:eastAsia="simsun"/>
                <w:sz w:val="18"/>
              </w:rPr>
              <w:t>1.服务期限：暂定为5个月</w:t>
            </w:r>
          </w:p>
          <w:p>
            <w:pPr>
              <w:pStyle w:val="null3"/>
              <w:jc w:val="both"/>
            </w:pPr>
            <w:r>
              <w:rPr>
                <w:rFonts w:ascii="simsun" w:hAnsi="simsun" w:cs="simsun" w:eastAsia="simsun"/>
                <w:sz w:val="18"/>
              </w:rPr>
              <w:t>2.服务地点：采购人指定的地点</w:t>
            </w:r>
          </w:p>
          <w:p>
            <w:pPr>
              <w:pStyle w:val="null3"/>
              <w:jc w:val="both"/>
            </w:pPr>
          </w:p>
        </w:tc>
      </w:tr>
    </w:tbl>
    <w:p>
      <w:pPr>
        <w:pStyle w:val="null3"/>
        <w:outlineLvl w:val="2"/>
      </w:pPr>
      <w:r>
        <w:rPr>
          <w:sz w:val="28"/>
          <w:b/>
        </w:rPr>
        <w:t>3.2.3人员配置要求</w:t>
      </w:r>
    </w:p>
    <w:p>
      <w:pPr>
        <w:pStyle w:val="null3"/>
      </w:pPr>
      <w:r>
        <w:rPr/>
        <w:t>采购包1：</w:t>
      </w:r>
    </w:p>
    <w:p>
      <w:pPr>
        <w:pStyle w:val="null3"/>
      </w:pPr>
      <w:r>
        <w:rPr/>
        <w:t>详见采购需求</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暂定为5个月</w:t>
      </w:r>
    </w:p>
    <w:p>
      <w:pPr>
        <w:pStyle w:val="null3"/>
        <w:outlineLvl w:val="3"/>
      </w:pPr>
      <w:r>
        <w:rPr>
          <w:sz w:val="24"/>
          <w:b/>
        </w:rPr>
        <w:t>3.3.2服务地点</w:t>
      </w:r>
    </w:p>
    <w:p>
      <w:pPr>
        <w:pStyle w:val="null3"/>
      </w:pPr>
      <w:r>
        <w:rPr/>
        <w:t>采购包1：</w:t>
      </w:r>
    </w:p>
    <w:p>
      <w:pPr>
        <w:pStyle w:val="null3"/>
      </w:pPr>
      <w:r>
        <w:rPr/>
        <w:t>采购人指定的地点</w:t>
      </w:r>
    </w:p>
    <w:p>
      <w:pPr>
        <w:pStyle w:val="null3"/>
        <w:outlineLvl w:val="3"/>
      </w:pPr>
      <w:r>
        <w:rPr>
          <w:sz w:val="24"/>
          <w:b/>
        </w:rPr>
        <w:t>3.3.3考核（验收）标准和方法</w:t>
      </w:r>
    </w:p>
    <w:p>
      <w:pPr>
        <w:pStyle w:val="null3"/>
      </w:pPr>
      <w:r>
        <w:rPr/>
        <w:t>采购包1：</w:t>
      </w:r>
    </w:p>
    <w:p>
      <w:pPr>
        <w:pStyle w:val="null3"/>
      </w:pPr>
      <w:r>
        <w:rPr/>
        <w:t>《西安市生活垃圾分类管理条例》和《西安浐灞国际港（浐灞片区）2024年生活垃圾处理服务项目标准及评分标准》等，详见拟签订的合同文本</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合同签订后20个工作日内</w:t>
      </w:r>
      <w:r>
        <w:rPr/>
        <w:t xml:space="preserve"> ，达到付款条件起 </w:t>
      </w:r>
      <w:r>
        <w:rPr/>
        <w:t>30</w:t>
      </w:r>
      <w:r>
        <w:rPr/>
        <w:t xml:space="preserve"> 日内，支付合同总金额的 </w:t>
      </w:r>
      <w:r>
        <w:rPr/>
        <w:t>15.00</w:t>
      </w:r>
      <w:r>
        <w:rPr/>
        <w:t>%。</w:t>
      </w:r>
    </w:p>
    <w:p>
      <w:pPr>
        <w:pStyle w:val="null3"/>
      </w:pPr>
      <w:r>
        <w:rPr/>
        <w:t>采购包1：</w:t>
      </w:r>
      <w:r>
        <w:rPr/>
        <w:t xml:space="preserve"> 付款条件说明： </w:t>
      </w:r>
      <w:r>
        <w:rPr/>
        <w:t>服务期结束后，根据《西安浐灞国际港（浐灞片区）2024年生活垃圾处理服务项目标准及评分标准》服务评分考核情况及实际工作完成情况，据实结算剩余价款</w:t>
      </w:r>
      <w:r>
        <w:rPr/>
        <w:t xml:space="preserve"> ，达到付款条件起 </w:t>
      </w:r>
      <w:r>
        <w:rPr/>
        <w:t>30</w:t>
      </w:r>
      <w:r>
        <w:rPr/>
        <w:t xml:space="preserve"> 日内，支付合同总金额的 </w:t>
      </w:r>
      <w:r>
        <w:rPr/>
        <w:t>85.00</w:t>
      </w:r>
      <w:r>
        <w:rPr/>
        <w:t>%。</w:t>
      </w:r>
    </w:p>
    <w:p>
      <w:pPr>
        <w:pStyle w:val="null3"/>
        <w:outlineLvl w:val="3"/>
      </w:pPr>
      <w:r>
        <w:rPr>
          <w:sz w:val="24"/>
          <w:b/>
        </w:rPr>
        <w:t>3.3.6违约责任及解决争议的方法</w:t>
      </w:r>
    </w:p>
    <w:p>
      <w:pPr>
        <w:pStyle w:val="null3"/>
      </w:pPr>
      <w:r>
        <w:rPr/>
        <w:t>采购包1：</w:t>
      </w:r>
    </w:p>
    <w:p>
      <w:pPr>
        <w:pStyle w:val="null3"/>
      </w:pPr>
      <w:r>
        <w:rPr/>
        <w:t>1.甲方违反合同规定拒绝接货的，应当承担由此对乙方造成的损失。 2.甲方不能按期付款，应承担相应违约责任。 3.乙方对甲方提出的问题应及时整改，如有拖欠或不服管理，甲方可要求乙方承担相应违约责任，情况严重时甲方可单方面解除合同。 4.乙方应当确保本项目服务工作所使用的物料、设备和技术等不侵犯任何第三人的合法权益及知识产权。如因乙方提供的物料、设备和技术等侵犯第三人合法权益及知识产权的，乙方自行向第三人承担赔偿责任。</w:t>
      </w:r>
    </w:p>
    <w:p>
      <w:pPr>
        <w:pStyle w:val="null3"/>
        <w:outlineLvl w:val="2"/>
      </w:pPr>
      <w:r>
        <w:rPr>
          <w:sz w:val="28"/>
          <w:b/>
        </w:rPr>
        <w:t>3.4其他要求</w:t>
      </w:r>
    </w:p>
    <w:p>
      <w:pPr>
        <w:pStyle w:val="null3"/>
      </w:pPr>
      <w:r>
        <w:rPr/>
        <w:t>1、本项目成交价为暂定总价，签订固定单价合同，最终按照实际工作量据实结算。 2、为顺利推进政府采购电子化交易平台试点应用工作，供应商需要在线提交所有通过电子化交易平台实施的政府采购项目的竞争性磋商响应文件。成交通知书发出后，成交供应商须向采购人提交竞争性磋商响应文件纸质版一正一副（纸质版响应文件与电子版响应文件保持一致）。</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供应商为合法注册的法人、其他组织或自然人，提供营业执照等证明文件</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财务状况报告（任选其一）</w:t>
            </w:r>
          </w:p>
        </w:tc>
        <w:tc>
          <w:tcPr>
            <w:tcW w:type="dxa" w:w="3322"/>
          </w:tcPr>
          <w:p>
            <w:pPr>
              <w:pStyle w:val="null3"/>
            </w:pPr>
            <w:r>
              <w:rPr/>
              <w:t>供应商2023年度经审计的财务报告或响应文件递交截止时间前三个月内其基本开户银行出具的资信证明及账户开户许可证明材料或财政部门认可的政府采购专业担保机构开具的担保函</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提供响应文件递交截止日前一年内已缴存的至少一个月的纳税证明或完税证明。依法免税的供应商应提供相关文件证明</w:t>
            </w:r>
          </w:p>
        </w:tc>
        <w:tc>
          <w:tcPr>
            <w:tcW w:type="dxa" w:w="1661"/>
          </w:tcPr>
          <w:p>
            <w:pPr>
              <w:pStyle w:val="null3"/>
            </w:pPr>
            <w:r>
              <w:rPr/>
              <w:t>供应商应提交的相关资格证明材料 响应函</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 响应函</w:t>
            </w:r>
          </w:p>
        </w:tc>
      </w:tr>
      <w:tr>
        <w:tc>
          <w:tcPr>
            <w:tcW w:type="dxa" w:w="831"/>
          </w:tcPr>
          <w:p>
            <w:pPr>
              <w:pStyle w:val="null3"/>
            </w:pPr>
            <w:r>
              <w:rPr/>
              <w:t>5</w:t>
            </w:r>
          </w:p>
        </w:tc>
        <w:tc>
          <w:tcPr>
            <w:tcW w:type="dxa" w:w="2492"/>
          </w:tcPr>
          <w:p>
            <w:pPr>
              <w:pStyle w:val="null3"/>
            </w:pPr>
            <w:r>
              <w:rPr/>
              <w:t>专业技术能力的声明</w:t>
            </w:r>
          </w:p>
        </w:tc>
        <w:tc>
          <w:tcPr>
            <w:tcW w:type="dxa" w:w="3322"/>
          </w:tcPr>
          <w:p>
            <w:pPr>
              <w:pStyle w:val="null3"/>
            </w:pPr>
            <w:r>
              <w:rPr/>
              <w:t>提供具有履行本合同所必需的设备和专业技术能力的声明或承诺</w:t>
            </w:r>
          </w:p>
        </w:tc>
        <w:tc>
          <w:tcPr>
            <w:tcW w:type="dxa" w:w="1661"/>
          </w:tcPr>
          <w:p>
            <w:pPr>
              <w:pStyle w:val="null3"/>
            </w:pPr>
            <w:r>
              <w:rPr/>
              <w:t>供应商应提交的相关资格证明材料 响应函</w:t>
            </w:r>
          </w:p>
        </w:tc>
      </w:tr>
      <w:tr>
        <w:tc>
          <w:tcPr>
            <w:tcW w:type="dxa" w:w="831"/>
          </w:tcPr>
          <w:p>
            <w:pPr>
              <w:pStyle w:val="null3"/>
            </w:pPr>
            <w:r>
              <w:rPr/>
              <w:t>6</w:t>
            </w:r>
          </w:p>
        </w:tc>
        <w:tc>
          <w:tcPr>
            <w:tcW w:type="dxa" w:w="2492"/>
          </w:tcPr>
          <w:p>
            <w:pPr>
              <w:pStyle w:val="null3"/>
            </w:pPr>
            <w:r>
              <w:rPr/>
              <w:t>没有重大违法记录的书面声明</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供应商应提交的相关资格证明材料 响应函</w:t>
            </w:r>
          </w:p>
        </w:tc>
      </w:tr>
      <w:tr>
        <w:tc>
          <w:tcPr>
            <w:tcW w:type="dxa" w:w="831"/>
          </w:tcPr>
          <w:p>
            <w:pPr>
              <w:pStyle w:val="null3"/>
            </w:pPr>
            <w:r>
              <w:rPr/>
              <w:t>7</w:t>
            </w:r>
          </w:p>
        </w:tc>
        <w:tc>
          <w:tcPr>
            <w:tcW w:type="dxa" w:w="2492"/>
          </w:tcPr>
          <w:p>
            <w:pPr>
              <w:pStyle w:val="null3"/>
            </w:pPr>
            <w:r>
              <w:rPr/>
              <w:t>供应商信用</w:t>
            </w:r>
          </w:p>
        </w:tc>
        <w:tc>
          <w:tcPr>
            <w:tcW w:type="dxa" w:w="3322"/>
          </w:tcPr>
          <w:p>
            <w:pPr>
              <w:pStyle w:val="null3"/>
            </w:pPr>
            <w:r>
              <w:rPr/>
              <w:t>不得为“信用中国”网站(http://www.creditchina.gov.cn)列入“失信被执行人、重大税收违法失信主体”的供应商；不得为中国政府采购网(http://www.ccgp.gov.cn)“政府采购严重违法失信行为记录名单”中的供应商</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关联关系说明</w:t>
            </w:r>
          </w:p>
        </w:tc>
        <w:tc>
          <w:tcPr>
            <w:tcW w:type="dxa" w:w="3322"/>
          </w:tcPr>
          <w:p>
            <w:pPr>
              <w:pStyle w:val="null3"/>
            </w:pPr>
            <w:r>
              <w:rPr/>
              <w:t>单位负责人为同一人或者存在直接控股、管理关系的不同供应商，不得参加同一合同项下的采购活动</w:t>
            </w:r>
          </w:p>
        </w:tc>
        <w:tc>
          <w:tcPr>
            <w:tcW w:type="dxa" w:w="1661"/>
          </w:tcPr>
          <w:p>
            <w:pPr>
              <w:pStyle w:val="null3"/>
            </w:pPr>
            <w:r>
              <w:rPr/>
              <w:t>供应商应提交的相关资格证明材料 响应函</w:t>
            </w:r>
          </w:p>
        </w:tc>
      </w:tr>
      <w:tr>
        <w:tc>
          <w:tcPr>
            <w:tcW w:type="dxa" w:w="831"/>
          </w:tcPr>
          <w:p>
            <w:pPr>
              <w:pStyle w:val="null3"/>
            </w:pPr>
            <w:r>
              <w:rPr/>
              <w:t>9</w:t>
            </w:r>
          </w:p>
        </w:tc>
        <w:tc>
          <w:tcPr>
            <w:tcW w:type="dxa" w:w="2492"/>
          </w:tcPr>
          <w:p>
            <w:pPr>
              <w:pStyle w:val="null3"/>
            </w:pPr>
            <w:r>
              <w:rPr/>
              <w:t>非联合承诺</w:t>
            </w:r>
          </w:p>
        </w:tc>
        <w:tc>
          <w:tcPr>
            <w:tcW w:type="dxa" w:w="3322"/>
          </w:tcPr>
          <w:p>
            <w:pPr>
              <w:pStyle w:val="null3"/>
            </w:pPr>
            <w:r>
              <w:rPr/>
              <w:t>本项目不接受联合体磋商，提供承诺函</w:t>
            </w:r>
          </w:p>
        </w:tc>
        <w:tc>
          <w:tcPr>
            <w:tcW w:type="dxa" w:w="1661"/>
          </w:tcPr>
          <w:p>
            <w:pPr>
              <w:pStyle w:val="null3"/>
            </w:pPr>
            <w:r>
              <w:rPr/>
              <w:t>供应商应提交的相关资格证明材料 响应函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 响应函</w:t>
            </w:r>
          </w:p>
        </w:tc>
      </w:tr>
      <w:tr>
        <w:tc>
          <w:tcPr>
            <w:tcW w:type="dxa" w:w="831"/>
          </w:tcPr>
          <w:p>
            <w:pPr>
              <w:pStyle w:val="null3"/>
            </w:pPr>
            <w:r>
              <w:rPr/>
              <w:t>2</w:t>
            </w:r>
          </w:p>
        </w:tc>
        <w:tc>
          <w:tcPr>
            <w:tcW w:type="dxa" w:w="2492"/>
          </w:tcPr>
          <w:p>
            <w:pPr>
              <w:pStyle w:val="null3"/>
            </w:pPr>
            <w:r>
              <w:rPr/>
              <w:t>响应文件签字、盖章</w:t>
            </w:r>
          </w:p>
        </w:tc>
        <w:tc>
          <w:tcPr>
            <w:tcW w:type="dxa" w:w="3322"/>
          </w:tcPr>
          <w:p>
            <w:pPr>
              <w:pStyle w:val="null3"/>
            </w:pPr>
            <w:r>
              <w:rPr/>
              <w:t>由法定代表人（单位负责人）或其委托代理人签字或盖章并加盖单位公章。由委托代理人签字或盖章的，出具有效的授权委托书、被授权人身份证复印件及供应商为其缴纳的社保证明或其为本公司人员的相关证明材料。由法定代表人（单位负责人）签字或盖章的，应附法定代表人（单位负责人）身份证明及身份证复印件。 签章均符合采购文件要求，且无遗漏。</w:t>
            </w:r>
          </w:p>
        </w:tc>
        <w:tc>
          <w:tcPr>
            <w:tcW w:type="dxa" w:w="1661"/>
          </w:tcPr>
          <w:p>
            <w:pPr>
              <w:pStyle w:val="null3"/>
            </w:pPr>
            <w:r>
              <w:rPr/>
              <w:t>响应文件封面 服务内容及服务邀请应答表 分项报价表 中小企业声明函 残疾人福利性单位声明函 商务应答表 服务方案 标的清单 供应商应提交的相关资格证明材料 响应函 监狱企业的证明文件</w:t>
            </w:r>
          </w:p>
        </w:tc>
      </w:tr>
      <w:tr>
        <w:tc>
          <w:tcPr>
            <w:tcW w:type="dxa" w:w="831"/>
          </w:tcPr>
          <w:p>
            <w:pPr>
              <w:pStyle w:val="null3"/>
            </w:pPr>
            <w:r>
              <w:rPr/>
              <w:t>3</w:t>
            </w:r>
          </w:p>
        </w:tc>
        <w:tc>
          <w:tcPr>
            <w:tcW w:type="dxa" w:w="2492"/>
          </w:tcPr>
          <w:p>
            <w:pPr>
              <w:pStyle w:val="null3"/>
            </w:pPr>
            <w:r>
              <w:rPr/>
              <w:t>响应报价</w:t>
            </w:r>
          </w:p>
        </w:tc>
        <w:tc>
          <w:tcPr>
            <w:tcW w:type="dxa" w:w="3322"/>
          </w:tcPr>
          <w:p>
            <w:pPr>
              <w:pStyle w:val="null3"/>
            </w:pPr>
            <w:r>
              <w:rPr/>
              <w:t>只能有一个有效报价，不得提交选择性报价，且报价不超过采购预算金额或最高限价。同时报价应响应项目需求，不响应的按无效投标处理。</w:t>
            </w:r>
          </w:p>
        </w:tc>
        <w:tc>
          <w:tcPr>
            <w:tcW w:type="dxa" w:w="1661"/>
          </w:tcPr>
          <w:p>
            <w:pPr>
              <w:pStyle w:val="null3"/>
            </w:pPr>
            <w:r>
              <w:rPr/>
              <w:t>响应文件封面 分项报价表 商务应答表 标的清单</w:t>
            </w:r>
          </w:p>
        </w:tc>
      </w:tr>
      <w:tr>
        <w:tc>
          <w:tcPr>
            <w:tcW w:type="dxa" w:w="831"/>
          </w:tcPr>
          <w:p>
            <w:pPr>
              <w:pStyle w:val="null3"/>
            </w:pPr>
            <w:r>
              <w:rPr/>
              <w:t>4</w:t>
            </w:r>
          </w:p>
        </w:tc>
        <w:tc>
          <w:tcPr>
            <w:tcW w:type="dxa" w:w="2492"/>
          </w:tcPr>
          <w:p>
            <w:pPr>
              <w:pStyle w:val="null3"/>
            </w:pPr>
            <w:r>
              <w:rPr/>
              <w:t>响应有效期</w:t>
            </w:r>
          </w:p>
        </w:tc>
        <w:tc>
          <w:tcPr>
            <w:tcW w:type="dxa" w:w="3322"/>
          </w:tcPr>
          <w:p>
            <w:pPr>
              <w:pStyle w:val="null3"/>
            </w:pPr>
            <w:r>
              <w:rPr/>
              <w:t>响应文件的递交截止之日起不少于90天。</w:t>
            </w:r>
          </w:p>
        </w:tc>
        <w:tc>
          <w:tcPr>
            <w:tcW w:type="dxa" w:w="1661"/>
          </w:tcPr>
          <w:p>
            <w:pPr>
              <w:pStyle w:val="null3"/>
            </w:pPr>
            <w:r>
              <w:rPr/>
              <w:t>响应文件封面 商务应答表 标的清单 响应函</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符合采购文件的要求</w:t>
            </w:r>
          </w:p>
        </w:tc>
        <w:tc>
          <w:tcPr>
            <w:tcW w:type="dxa" w:w="1661"/>
          </w:tcPr>
          <w:p>
            <w:pPr>
              <w:pStyle w:val="null3"/>
            </w:pPr>
            <w:r>
              <w:rPr/>
              <w:t>响应文件封面 商务应答表 服务方案 标的清单</w:t>
            </w:r>
          </w:p>
        </w:tc>
      </w:tr>
      <w:tr>
        <w:tc>
          <w:tcPr>
            <w:tcW w:type="dxa" w:w="831"/>
          </w:tcPr>
          <w:p>
            <w:pPr>
              <w:pStyle w:val="null3"/>
            </w:pPr>
            <w:r>
              <w:rPr/>
              <w:t>6</w:t>
            </w:r>
          </w:p>
        </w:tc>
        <w:tc>
          <w:tcPr>
            <w:tcW w:type="dxa" w:w="2492"/>
          </w:tcPr>
          <w:p>
            <w:pPr>
              <w:pStyle w:val="null3"/>
            </w:pPr>
            <w:r>
              <w:rPr/>
              <w:t>其他无效响应的情形</w:t>
            </w:r>
          </w:p>
        </w:tc>
        <w:tc>
          <w:tcPr>
            <w:tcW w:type="dxa" w:w="3322"/>
          </w:tcPr>
          <w:p>
            <w:pPr>
              <w:pStyle w:val="null3"/>
            </w:pPr>
            <w:r>
              <w:rPr/>
              <w:t>没有出现法律法规或采购文件明确规定的其他被视为“无效响应”的情形及未实质性响应采购文件的情况。</w:t>
            </w:r>
          </w:p>
        </w:tc>
        <w:tc>
          <w:tcPr>
            <w:tcW w:type="dxa" w:w="1661"/>
          </w:tcPr>
          <w:p>
            <w:pPr>
              <w:pStyle w:val="null3"/>
            </w:pPr>
            <w:r>
              <w:rPr/>
              <w:t>响应文件封面 服务内容及服务邀请应答表 分项报价表 中小企业声明函 残疾人福利性单位声明函 商务应答表 服务方案 标的清单 供应商应提交的相关资格证明材料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垃圾分类宣传服务方案</w:t>
            </w:r>
          </w:p>
        </w:tc>
        <w:tc>
          <w:tcPr>
            <w:tcW w:type="dxa" w:w="2492"/>
          </w:tcPr>
          <w:p>
            <w:pPr>
              <w:pStyle w:val="null3"/>
            </w:pPr>
            <w:r>
              <w:rPr/>
              <w:t>服务方案至少包括：①宣传活动服务②大型宣传活动服务③公众号宣传服务④宣传单页海报、展板服务等内容。 评审标准：方案各部分内容全面详细、阐述条理清晰详尽、符合本项目采购需求，每提供1项得3分，最高得12分，不提供不得分。在此基础上每有一处缺陷扣0.5分，扣完为止。 （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垃圾分类培训服务方案</w:t>
            </w:r>
          </w:p>
        </w:tc>
        <w:tc>
          <w:tcPr>
            <w:tcW w:type="dxa" w:w="2492"/>
          </w:tcPr>
          <w:p>
            <w:pPr>
              <w:pStyle w:val="null3"/>
            </w:pPr>
            <w:r>
              <w:rPr/>
              <w:t>服务方案至少包括：①培训活动服务②宣教基地培训服务③校园教材服务等内容。 评审标准：方案各部分内容全面详细、阐述条理清晰详尽、符合本项目采购需求，每提供1项得3分，最高得9分，不提供不得分。在此基础上每有一处缺陷扣0.5分，扣完为止。 （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“一中心一点一基地”运营服务方案</w:t>
            </w:r>
          </w:p>
        </w:tc>
        <w:tc>
          <w:tcPr>
            <w:tcW w:type="dxa" w:w="2492"/>
          </w:tcPr>
          <w:p>
            <w:pPr>
              <w:pStyle w:val="null3"/>
            </w:pPr>
            <w:r>
              <w:rPr/>
              <w:t>服务方案至少包括：①提升改造服务②运营管理服 ③有害垃圾收运、处置服务④大件垃圾分拣服务⑤垃圾分类标识服务⑥垃圾分类公示牌服务⑦宣传礼品服务⑧垃圾分类投放容器服务等内容。 评审标准：方案各部分内容全面详细、阐述条理清晰详尽、符合本项目采购需求，每提供1项得3分，最高得24分，不提供不得分。在此基础上每有一处缺陷扣0.5分，扣完为止。 （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24.0000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垃圾分类管理服务方案</w:t>
            </w:r>
          </w:p>
        </w:tc>
        <w:tc>
          <w:tcPr>
            <w:tcW w:type="dxa" w:w="2492"/>
          </w:tcPr>
          <w:p>
            <w:pPr>
              <w:pStyle w:val="null3"/>
            </w:pPr>
            <w:r>
              <w:rPr/>
              <w:t>服务方案至少包括：①运营服务②信息化管理服务③调研服务等内容。 评审标准：方案各部分内容全面详细、阐述条理清晰详尽、符合本项目采购需求，每提供1项得3分，最高得9分，不提供不得分。在此基础上每有一处缺陷扣0.5分，扣完为止。 （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专业设备设施及辅助工具</w:t>
            </w:r>
          </w:p>
        </w:tc>
        <w:tc>
          <w:tcPr>
            <w:tcW w:type="dxa" w:w="2492"/>
          </w:tcPr>
          <w:p>
            <w:pPr>
              <w:pStyle w:val="null3"/>
            </w:pPr>
            <w:r>
              <w:rPr/>
              <w:t>至少包括以下内容： ①拟投入的主要机具、设备配置情况及相关证明材料；②定期检查和维护③设备管理制度。 评审标准:方案各部分内容全面详细、阐述条理清晰详尽、符合本项目采购需求，每一项内容最高得2分。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质量控制方案及服务承诺</w:t>
            </w:r>
          </w:p>
        </w:tc>
        <w:tc>
          <w:tcPr>
            <w:tcW w:type="dxa" w:w="2492"/>
          </w:tcPr>
          <w:p>
            <w:pPr>
              <w:pStyle w:val="null3"/>
            </w:pPr>
            <w:r>
              <w:rPr/>
              <w:t>至少包括以下内容： ①质量控制方案；②服务承诺；③应急预案。 评审标准:方案各部分内容全面详细、阐述条理清晰详尽、符合本项目采购需求，每一项内容最高得4分。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供应商提供以下内容： ①拟投入人员岗位安排及职责及相关资料； ②团队人员管理方案。 评审标准:各部分内容全面详细、阐述条理清晰详尽、符合本项目采购需求，每提供1项得4分，最高得8分，不提供不得分。在此基础上每有一处缺陷扣0.5分，扣完为止。 （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 2021年 1 月 1 日至今（以合同签订日期为准）类似项目的业绩合同，响应文件中附有其合同等证明文件，每份计 2分，满分 10分。未提供不得分。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详见附件：供应商应提交的相关资格证明材料</w:t>
      </w:r>
    </w:p>
    <w:p>
      <w:pPr>
        <w:pStyle w:val="null3"/>
        <w:ind w:firstLine="960"/>
      </w:pPr>
      <w:r>
        <w:rPr/>
        <w:t>详见附件：服务方案</w:t>
      </w:r>
    </w:p>
    <w:p>
      <w:pPr>
        <w:pStyle w:val="null3"/>
        <w:ind w:firstLine="960"/>
      </w:pPr>
      <w:r>
        <w:rPr/>
        <w:t>详见附件：分项报价表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详见附件：拟签订的合同文本.docx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