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56AC4">
      <w:pPr>
        <w:spacing w:line="360" w:lineRule="auto"/>
        <w:ind w:firstLine="6354" w:firstLineChars="2637"/>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合同编号：</w:t>
      </w:r>
    </w:p>
    <w:p w14:paraId="0BBC892B">
      <w:pPr>
        <w:rPr>
          <w:rFonts w:hint="eastAsia" w:ascii="宋体" w:hAnsi="宋体" w:eastAsia="宋体" w:cs="宋体"/>
          <w:highlight w:val="none"/>
          <w:lang w:eastAsia="zh-CN"/>
        </w:rPr>
      </w:pPr>
    </w:p>
    <w:p w14:paraId="59320B6C">
      <w:pPr>
        <w:rPr>
          <w:rFonts w:hint="eastAsia" w:ascii="宋体" w:hAnsi="宋体" w:eastAsia="宋体" w:cs="宋体"/>
          <w:highlight w:val="none"/>
          <w:lang w:eastAsia="zh-CN"/>
        </w:rPr>
      </w:pPr>
    </w:p>
    <w:p w14:paraId="53D56E1F">
      <w:pPr>
        <w:jc w:val="center"/>
        <w:rPr>
          <w:rFonts w:hint="default" w:ascii="宋体" w:hAnsi="宋体" w:eastAsia="宋体" w:cs="宋体"/>
          <w:b/>
          <w:bCs/>
          <w:sz w:val="56"/>
          <w:szCs w:val="56"/>
          <w:highlight w:val="none"/>
          <w:lang w:val="en-US" w:eastAsia="zh-CN"/>
        </w:rPr>
      </w:pPr>
      <w:r>
        <w:rPr>
          <w:rFonts w:hint="eastAsia" w:ascii="宋体" w:hAnsi="宋体" w:eastAsia="宋体" w:cs="宋体"/>
          <w:b/>
          <w:bCs/>
          <w:sz w:val="56"/>
          <w:szCs w:val="56"/>
          <w:highlight w:val="none"/>
          <w:lang w:eastAsia="zh-CN"/>
        </w:rPr>
        <w:t>西安浐灞国际港(浐灞片区)2024年城市生活垃圾处理服务</w:t>
      </w:r>
      <w:r>
        <w:rPr>
          <w:rFonts w:hint="eastAsia" w:ascii="宋体" w:hAnsi="宋体" w:eastAsia="宋体" w:cs="宋体"/>
          <w:b/>
          <w:bCs/>
          <w:sz w:val="56"/>
          <w:szCs w:val="56"/>
          <w:highlight w:val="none"/>
          <w:lang w:val="en-US" w:eastAsia="zh-CN"/>
        </w:rPr>
        <w:t>项目</w:t>
      </w:r>
    </w:p>
    <w:p w14:paraId="13AB01AB">
      <w:pPr>
        <w:rPr>
          <w:rFonts w:hint="eastAsia" w:ascii="宋体" w:hAnsi="宋体" w:eastAsia="宋体" w:cs="宋体"/>
          <w:highlight w:val="none"/>
        </w:rPr>
      </w:pPr>
    </w:p>
    <w:p w14:paraId="70CFDEC4">
      <w:pPr>
        <w:jc w:val="both"/>
        <w:rPr>
          <w:rFonts w:hint="eastAsia" w:ascii="宋体" w:hAnsi="宋体" w:eastAsia="宋体" w:cs="宋体"/>
          <w:b/>
          <w:sz w:val="52"/>
          <w:szCs w:val="52"/>
          <w:highlight w:val="none"/>
        </w:rPr>
      </w:pPr>
    </w:p>
    <w:p w14:paraId="781BB7D8">
      <w:pPr>
        <w:jc w:val="center"/>
        <w:rPr>
          <w:rFonts w:hint="eastAsia" w:ascii="宋体" w:hAnsi="宋体" w:eastAsia="宋体" w:cs="宋体"/>
          <w:highlight w:val="none"/>
        </w:rPr>
      </w:pPr>
      <w:r>
        <w:rPr>
          <w:rFonts w:hint="eastAsia" w:ascii="宋体" w:hAnsi="宋体" w:eastAsia="宋体" w:cs="宋体"/>
          <w:b/>
          <w:sz w:val="52"/>
          <w:szCs w:val="52"/>
          <w:highlight w:val="none"/>
        </w:rPr>
        <w:t>合同书</w:t>
      </w:r>
    </w:p>
    <w:p w14:paraId="1EB8C3B9">
      <w:pPr>
        <w:spacing w:line="360" w:lineRule="auto"/>
        <w:ind w:left="1469" w:hanging="1469" w:hangingChars="400"/>
        <w:jc w:val="center"/>
        <w:rPr>
          <w:rFonts w:hint="eastAsia" w:ascii="宋体" w:hAnsi="宋体" w:eastAsia="宋体" w:cs="宋体"/>
          <w:b/>
          <w:color w:val="auto"/>
          <w:spacing w:val="23"/>
          <w:sz w:val="32"/>
          <w:szCs w:val="32"/>
          <w:highlight w:val="none"/>
        </w:rPr>
      </w:pPr>
    </w:p>
    <w:p w14:paraId="222AC8FC">
      <w:pPr>
        <w:spacing w:line="360" w:lineRule="auto"/>
        <w:ind w:left="1469" w:hanging="1469" w:hangingChars="400"/>
        <w:jc w:val="center"/>
        <w:rPr>
          <w:rFonts w:hint="eastAsia" w:ascii="宋体" w:hAnsi="宋体" w:eastAsia="宋体" w:cs="宋体"/>
          <w:b/>
          <w:color w:val="auto"/>
          <w:spacing w:val="23"/>
          <w:sz w:val="32"/>
          <w:szCs w:val="32"/>
          <w:highlight w:val="none"/>
        </w:rPr>
      </w:pPr>
    </w:p>
    <w:p w14:paraId="298111BF">
      <w:pPr>
        <w:spacing w:line="360" w:lineRule="auto"/>
        <w:ind w:left="1469" w:hanging="1469" w:hangingChars="400"/>
        <w:jc w:val="center"/>
        <w:rPr>
          <w:rFonts w:hint="eastAsia" w:ascii="宋体" w:hAnsi="宋体" w:eastAsia="宋体" w:cs="宋体"/>
          <w:b/>
          <w:color w:val="auto"/>
          <w:spacing w:val="23"/>
          <w:sz w:val="32"/>
          <w:szCs w:val="32"/>
          <w:highlight w:val="none"/>
        </w:rPr>
      </w:pPr>
    </w:p>
    <w:p w14:paraId="75B10AD0">
      <w:pPr>
        <w:spacing w:line="360" w:lineRule="auto"/>
        <w:ind w:left="1469" w:hanging="1469" w:hangingChars="400"/>
        <w:jc w:val="center"/>
        <w:rPr>
          <w:rFonts w:hint="eastAsia" w:ascii="宋体" w:hAnsi="宋体" w:eastAsia="宋体" w:cs="宋体"/>
          <w:b/>
          <w:color w:val="auto"/>
          <w:spacing w:val="23"/>
          <w:sz w:val="32"/>
          <w:szCs w:val="32"/>
          <w:highlight w:val="none"/>
        </w:rPr>
      </w:pPr>
    </w:p>
    <w:p w14:paraId="38A56476">
      <w:pPr>
        <w:spacing w:line="360" w:lineRule="auto"/>
        <w:ind w:left="1534" w:leftChars="639" w:firstLine="0" w:firstLineChars="0"/>
        <w:jc w:val="both"/>
        <w:rPr>
          <w:rFonts w:hint="eastAsia" w:ascii="宋体" w:hAnsi="宋体" w:eastAsia="宋体" w:cs="宋体"/>
          <w:b/>
          <w:color w:val="auto"/>
          <w:spacing w:val="23"/>
          <w:sz w:val="32"/>
          <w:szCs w:val="32"/>
          <w:highlight w:val="none"/>
          <w:lang w:val="en-US" w:eastAsia="zh-CN"/>
        </w:rPr>
      </w:pPr>
      <w:r>
        <w:rPr>
          <w:rFonts w:hint="eastAsia" w:ascii="宋体" w:hAnsi="宋体" w:eastAsia="宋体" w:cs="宋体"/>
          <w:b/>
          <w:color w:val="auto"/>
          <w:spacing w:val="23"/>
          <w:sz w:val="32"/>
          <w:szCs w:val="32"/>
          <w:highlight w:val="none"/>
        </w:rPr>
        <w:t>甲方(采购人)：</w:t>
      </w:r>
      <w:r>
        <w:rPr>
          <w:rFonts w:hint="eastAsia" w:ascii="宋体" w:hAnsi="宋体" w:eastAsia="宋体" w:cs="宋体"/>
          <w:b/>
          <w:color w:val="auto"/>
          <w:spacing w:val="23"/>
          <w:sz w:val="32"/>
          <w:szCs w:val="32"/>
          <w:highlight w:val="none"/>
          <w:u w:val="single"/>
          <w:lang w:val="en-US" w:eastAsia="zh-CN"/>
        </w:rPr>
        <w:t xml:space="preserve">             </w:t>
      </w:r>
    </w:p>
    <w:p w14:paraId="22FBC35A">
      <w:pPr>
        <w:spacing w:line="360" w:lineRule="auto"/>
        <w:ind w:left="1534" w:leftChars="639" w:firstLine="0" w:firstLineChars="0"/>
        <w:jc w:val="both"/>
        <w:rPr>
          <w:rFonts w:hint="eastAsia" w:ascii="宋体" w:hAnsi="宋体" w:eastAsia="宋体" w:cs="宋体"/>
          <w:color w:val="auto"/>
          <w:spacing w:val="23"/>
          <w:sz w:val="28"/>
          <w:szCs w:val="28"/>
          <w:highlight w:val="none"/>
          <w:u w:val="single"/>
          <w:lang w:val="en-US" w:eastAsia="zh-CN"/>
        </w:rPr>
      </w:pPr>
      <w:r>
        <w:rPr>
          <w:rFonts w:hint="eastAsia" w:ascii="宋体" w:hAnsi="宋体" w:eastAsia="宋体" w:cs="宋体"/>
          <w:b/>
          <w:color w:val="auto"/>
          <w:spacing w:val="23"/>
          <w:sz w:val="32"/>
          <w:szCs w:val="32"/>
          <w:highlight w:val="none"/>
        </w:rPr>
        <w:fldChar w:fldCharType="begin"/>
      </w:r>
      <w:r>
        <w:rPr>
          <w:rFonts w:hint="eastAsia" w:ascii="宋体" w:hAnsi="宋体" w:eastAsia="宋体" w:cs="宋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pacing w:val="23"/>
          <w:sz w:val="32"/>
          <w:szCs w:val="32"/>
          <w:highlight w:val="none"/>
        </w:rPr>
        <w:fldChar w:fldCharType="separate"/>
      </w:r>
      <w:r>
        <w:rPr>
          <w:rFonts w:hint="eastAsia" w:ascii="宋体" w:hAnsi="宋体" w:eastAsia="宋体" w:cs="宋体"/>
          <w:b/>
          <w:color w:val="auto"/>
          <w:spacing w:val="23"/>
          <w:sz w:val="32"/>
          <w:szCs w:val="32"/>
          <w:highlight w:val="none"/>
        </w:rPr>
        <w:t>乙方</w:t>
      </w:r>
      <w:r>
        <w:rPr>
          <w:rFonts w:hint="eastAsia" w:ascii="宋体" w:hAnsi="宋体" w:eastAsia="宋体" w:cs="宋体"/>
          <w:b/>
          <w:color w:val="auto"/>
          <w:spacing w:val="23"/>
          <w:sz w:val="32"/>
          <w:szCs w:val="32"/>
          <w:highlight w:val="none"/>
        </w:rPr>
        <w:fldChar w:fldCharType="end"/>
      </w:r>
      <w:r>
        <w:rPr>
          <w:rFonts w:hint="eastAsia" w:ascii="宋体" w:hAnsi="宋体" w:eastAsia="宋体" w:cs="宋体"/>
          <w:b/>
          <w:color w:val="auto"/>
          <w:spacing w:val="23"/>
          <w:sz w:val="32"/>
          <w:szCs w:val="32"/>
          <w:highlight w:val="none"/>
        </w:rPr>
        <w:t>(供应商)：</w:t>
      </w:r>
      <w:r>
        <w:rPr>
          <w:rFonts w:hint="eastAsia" w:ascii="宋体" w:hAnsi="宋体" w:eastAsia="宋体" w:cs="宋体"/>
          <w:color w:val="auto"/>
          <w:spacing w:val="23"/>
          <w:sz w:val="28"/>
          <w:szCs w:val="28"/>
          <w:highlight w:val="none"/>
          <w:u w:val="single"/>
          <w:lang w:val="en-US" w:eastAsia="zh-CN"/>
        </w:rPr>
        <w:t xml:space="preserve">               </w:t>
      </w:r>
    </w:p>
    <w:p w14:paraId="44466A33">
      <w:pPr>
        <w:spacing w:line="360" w:lineRule="auto"/>
        <w:ind w:left="1534" w:leftChars="639" w:firstLine="0" w:firstLineChars="0"/>
        <w:jc w:val="both"/>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t>签订时间：</w:t>
      </w:r>
      <w:r>
        <w:rPr>
          <w:rFonts w:hint="eastAsia" w:ascii="宋体" w:hAnsi="宋体" w:eastAsia="宋体" w:cs="宋体"/>
          <w:b/>
          <w:color w:val="auto"/>
          <w:spacing w:val="23"/>
          <w:sz w:val="32"/>
          <w:szCs w:val="32"/>
          <w:highlight w:val="none"/>
          <w:u w:val="single"/>
          <w:lang w:val="en-US" w:eastAsia="zh-CN"/>
        </w:rPr>
        <w:t xml:space="preserve">    </w:t>
      </w:r>
      <w:r>
        <w:rPr>
          <w:rFonts w:hint="eastAsia" w:ascii="宋体" w:hAnsi="宋体" w:eastAsia="宋体" w:cs="宋体"/>
          <w:b/>
          <w:color w:val="auto"/>
          <w:spacing w:val="23"/>
          <w:sz w:val="32"/>
          <w:szCs w:val="32"/>
          <w:highlight w:val="none"/>
        </w:rPr>
        <w:t>年</w:t>
      </w:r>
      <w:r>
        <w:rPr>
          <w:rFonts w:hint="eastAsia" w:ascii="宋体" w:hAnsi="宋体" w:eastAsia="宋体" w:cs="宋体"/>
          <w:b/>
          <w:color w:val="auto"/>
          <w:spacing w:val="23"/>
          <w:sz w:val="32"/>
          <w:szCs w:val="32"/>
          <w:highlight w:val="none"/>
          <w:u w:val="single"/>
          <w:lang w:val="en-US" w:eastAsia="zh-CN"/>
        </w:rPr>
        <w:t xml:space="preserve">    </w:t>
      </w:r>
      <w:r>
        <w:rPr>
          <w:rFonts w:hint="eastAsia" w:ascii="宋体" w:hAnsi="宋体" w:eastAsia="宋体" w:cs="宋体"/>
          <w:b/>
          <w:color w:val="auto"/>
          <w:spacing w:val="23"/>
          <w:sz w:val="32"/>
          <w:szCs w:val="32"/>
          <w:highlight w:val="none"/>
        </w:rPr>
        <w:t>月</w:t>
      </w:r>
      <w:r>
        <w:rPr>
          <w:rFonts w:hint="eastAsia" w:ascii="宋体" w:hAnsi="宋体" w:eastAsia="宋体" w:cs="宋体"/>
          <w:b/>
          <w:color w:val="auto"/>
          <w:spacing w:val="23"/>
          <w:sz w:val="32"/>
          <w:szCs w:val="32"/>
          <w:highlight w:val="none"/>
          <w:u w:val="single"/>
          <w:lang w:val="en-US" w:eastAsia="zh-CN"/>
        </w:rPr>
        <w:t xml:space="preserve">    </w:t>
      </w:r>
      <w:r>
        <w:rPr>
          <w:rFonts w:hint="eastAsia" w:ascii="宋体" w:hAnsi="宋体" w:eastAsia="宋体" w:cs="宋体"/>
          <w:b/>
          <w:color w:val="auto"/>
          <w:spacing w:val="23"/>
          <w:sz w:val="32"/>
          <w:szCs w:val="32"/>
          <w:highlight w:val="none"/>
        </w:rPr>
        <w:t>日</w:t>
      </w:r>
    </w:p>
    <w:p w14:paraId="4312D753">
      <w:pPr>
        <w:spacing w:line="360" w:lineRule="auto"/>
        <w:jc w:val="both"/>
        <w:rPr>
          <w:rFonts w:hint="eastAsia" w:ascii="宋体" w:hAnsi="宋体" w:eastAsia="宋体" w:cs="宋体"/>
          <w:b/>
          <w:color w:val="auto"/>
          <w:spacing w:val="23"/>
          <w:sz w:val="32"/>
          <w:szCs w:val="32"/>
          <w:highlight w:val="none"/>
        </w:rPr>
      </w:pPr>
      <w:r>
        <w:rPr>
          <w:rFonts w:hint="eastAsia" w:ascii="宋体" w:hAnsi="宋体" w:eastAsia="宋体" w:cs="宋体"/>
          <w:b/>
          <w:color w:val="auto"/>
          <w:spacing w:val="23"/>
          <w:sz w:val="32"/>
          <w:szCs w:val="32"/>
          <w:highlight w:val="none"/>
        </w:rPr>
        <w:br w:type="page"/>
      </w:r>
    </w:p>
    <w:p w14:paraId="5C773100">
      <w:pPr>
        <w:spacing w:line="360" w:lineRule="auto"/>
        <w:jc w:val="center"/>
        <w:rPr>
          <w:rFonts w:hint="eastAsia" w:ascii="宋体" w:hAnsi="宋体" w:eastAsia="宋体" w:cs="宋体"/>
          <w:b/>
          <w:color w:val="auto"/>
          <w:spacing w:val="23"/>
          <w:sz w:val="32"/>
          <w:szCs w:val="32"/>
          <w:highlight w:val="none"/>
        </w:rPr>
      </w:pPr>
      <w:r>
        <w:rPr>
          <w:rFonts w:hint="eastAsia" w:ascii="宋体" w:hAnsi="宋体" w:eastAsia="宋体" w:cs="宋体"/>
          <w:b/>
          <w:bCs/>
          <w:color w:val="000000"/>
          <w:sz w:val="32"/>
          <w:szCs w:val="32"/>
          <w:highlight w:val="none"/>
        </w:rPr>
        <w:t>采</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rPr>
        <w:t>购</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rPr>
        <w:t>合</w:t>
      </w:r>
      <w:r>
        <w:rPr>
          <w:rFonts w:hint="eastAsia" w:ascii="宋体" w:hAnsi="宋体" w:eastAsia="宋体" w:cs="宋体"/>
          <w:b/>
          <w:bCs/>
          <w:color w:val="000000"/>
          <w:sz w:val="32"/>
          <w:szCs w:val="32"/>
          <w:highlight w:val="none"/>
          <w:lang w:val="en-US" w:eastAsia="zh-CN"/>
        </w:rPr>
        <w:t xml:space="preserve"> </w:t>
      </w:r>
      <w:r>
        <w:rPr>
          <w:rFonts w:hint="eastAsia" w:ascii="宋体" w:hAnsi="宋体" w:eastAsia="宋体" w:cs="宋体"/>
          <w:b/>
          <w:bCs/>
          <w:color w:val="000000"/>
          <w:sz w:val="32"/>
          <w:szCs w:val="32"/>
          <w:highlight w:val="none"/>
        </w:rPr>
        <w:t>同</w:t>
      </w:r>
    </w:p>
    <w:p w14:paraId="1CC275A8">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甲方(采购人)：</w:t>
      </w:r>
      <w:r>
        <w:rPr>
          <w:rFonts w:hint="eastAsia" w:ascii="宋体" w:hAnsi="宋体" w:eastAsia="宋体" w:cs="宋体"/>
          <w:sz w:val="20"/>
          <w:szCs w:val="20"/>
          <w:highlight w:val="none"/>
          <w:u w:val="single"/>
          <w:lang w:val="en-US" w:eastAsia="zh-CN"/>
        </w:rPr>
        <w:t xml:space="preserve">             </w:t>
      </w:r>
    </w:p>
    <w:p w14:paraId="1D3F81CB">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fldChar w:fldCharType="begin"/>
      </w:r>
      <w:r>
        <w:rPr>
          <w:rFonts w:hint="eastAsia" w:ascii="宋体" w:hAnsi="宋体" w:eastAsia="宋体" w:cs="宋体"/>
          <w:sz w:val="20"/>
          <w:szCs w:val="20"/>
          <w:highlight w:val="none"/>
          <w:lang w:val="en-US" w:eastAsia="zh-CN"/>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sz w:val="20"/>
          <w:szCs w:val="20"/>
          <w:highlight w:val="none"/>
          <w:lang w:val="en-US" w:eastAsia="zh-CN"/>
        </w:rPr>
        <w:fldChar w:fldCharType="separate"/>
      </w:r>
      <w:r>
        <w:rPr>
          <w:rFonts w:hint="eastAsia" w:ascii="宋体" w:hAnsi="宋体" w:eastAsia="宋体" w:cs="宋体"/>
          <w:sz w:val="20"/>
          <w:szCs w:val="20"/>
          <w:highlight w:val="none"/>
          <w:lang w:val="en-US" w:eastAsia="zh-CN"/>
        </w:rPr>
        <w:t>乙方</w:t>
      </w:r>
      <w:r>
        <w:rPr>
          <w:rFonts w:hint="eastAsia" w:ascii="宋体" w:hAnsi="宋体" w:eastAsia="宋体" w:cs="宋体"/>
          <w:sz w:val="20"/>
          <w:szCs w:val="20"/>
          <w:highlight w:val="none"/>
          <w:lang w:val="en-US" w:eastAsia="zh-CN"/>
        </w:rPr>
        <w:fldChar w:fldCharType="end"/>
      </w:r>
      <w:r>
        <w:rPr>
          <w:rFonts w:hint="eastAsia" w:ascii="宋体" w:hAnsi="宋体" w:eastAsia="宋体" w:cs="宋体"/>
          <w:sz w:val="20"/>
          <w:szCs w:val="20"/>
          <w:highlight w:val="none"/>
          <w:lang w:val="en-US" w:eastAsia="zh-CN"/>
        </w:rPr>
        <w:t>(供应商)：</w:t>
      </w:r>
      <w:r>
        <w:rPr>
          <w:rFonts w:hint="eastAsia" w:ascii="宋体" w:hAnsi="宋体" w:eastAsia="宋体" w:cs="宋体"/>
          <w:sz w:val="20"/>
          <w:szCs w:val="20"/>
          <w:highlight w:val="none"/>
          <w:u w:val="single"/>
          <w:lang w:val="en-US" w:eastAsia="zh-CN"/>
        </w:rPr>
        <w:t xml:space="preserve">             </w:t>
      </w:r>
    </w:p>
    <w:p w14:paraId="1D72FDF1">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依照《中华人民共和国民法典》《中华人民共和国政府采购法》及其他有关法律、行政法规，遵循平等、自愿、公平和诚实信用的原则，双方就关于开展西安浐灞国际港(浐灞片区)2024年城市生活垃圾处理服务项目协商一致，订立本合同。</w:t>
      </w:r>
    </w:p>
    <w:p w14:paraId="3C57D94C">
      <w:pPr>
        <w:keepNext w:val="0"/>
        <w:keepLines w:val="0"/>
        <w:pageBreakBefore w:val="0"/>
        <w:widowControl/>
        <w:kinsoku/>
        <w:wordWrap/>
        <w:overflowPunct/>
        <w:topLinePunct w:val="0"/>
        <w:autoSpaceDE/>
        <w:autoSpaceDN/>
        <w:bidi w:val="0"/>
        <w:adjustRightInd/>
        <w:snapToGrid/>
        <w:spacing w:line="312" w:lineRule="auto"/>
        <w:ind w:firstLine="402" w:firstLineChars="200"/>
        <w:jc w:val="both"/>
        <w:textAlignment w:val="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第一条 合同文件</w:t>
      </w:r>
    </w:p>
    <w:p w14:paraId="744D8383">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本合同所附下列文件是构成本合同不可分割的部分，与本合同具有同等法律效力，这些文件包括但不限于：</w:t>
      </w:r>
    </w:p>
    <w:p w14:paraId="20493228">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1.本项目采购文件</w:t>
      </w:r>
    </w:p>
    <w:p w14:paraId="46A156A8">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2.乙方响应文件</w:t>
      </w:r>
    </w:p>
    <w:p w14:paraId="41FB8446">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3.乙方在投标时的书面承诺</w:t>
      </w:r>
    </w:p>
    <w:p w14:paraId="6F229B49">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4.成交通知书</w:t>
      </w:r>
    </w:p>
    <w:p w14:paraId="20C62ED5">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5.合同补充条款说明</w:t>
      </w:r>
    </w:p>
    <w:p w14:paraId="0F6396DE">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6.保密协议或条款</w:t>
      </w:r>
    </w:p>
    <w:p w14:paraId="202D9084">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7.相关附件及电子版资料</w:t>
      </w:r>
    </w:p>
    <w:p w14:paraId="7AE4DAF8">
      <w:pPr>
        <w:keepNext w:val="0"/>
        <w:keepLines w:val="0"/>
        <w:pageBreakBefore w:val="0"/>
        <w:widowControl/>
        <w:kinsoku/>
        <w:wordWrap/>
        <w:overflowPunct/>
        <w:topLinePunct w:val="0"/>
        <w:autoSpaceDE/>
        <w:autoSpaceDN/>
        <w:bidi w:val="0"/>
        <w:adjustRightInd/>
        <w:snapToGrid/>
        <w:spacing w:line="312" w:lineRule="auto"/>
        <w:ind w:firstLine="402" w:firstLineChars="200"/>
        <w:jc w:val="both"/>
        <w:textAlignment w:val="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rPr>
        <w:t>第二条 合同内容</w:t>
      </w:r>
    </w:p>
    <w:p w14:paraId="2685AFC4">
      <w:pPr>
        <w:keepNext w:val="0"/>
        <w:keepLines w:val="0"/>
        <w:pageBreakBefore w:val="0"/>
        <w:kinsoku/>
        <w:wordWrap/>
        <w:overflowPunct/>
        <w:topLinePunct w:val="0"/>
        <w:autoSpaceDE/>
        <w:autoSpaceDN/>
        <w:bidi w:val="0"/>
        <w:adjustRightInd/>
        <w:snapToGrid/>
        <w:spacing w:after="0" w:line="312" w:lineRule="auto"/>
        <w:ind w:firstLine="400" w:firstLineChars="200"/>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1.服务期：</w:t>
      </w:r>
      <w:r>
        <w:rPr>
          <w:rFonts w:hint="eastAsia" w:ascii="宋体" w:hAnsi="宋体" w:eastAsia="宋体" w:cs="宋体"/>
          <w:color w:val="0000FF"/>
          <w:sz w:val="20"/>
          <w:szCs w:val="20"/>
          <w:highlight w:val="none"/>
          <w:lang w:eastAsia="zh-CN"/>
        </w:rPr>
        <w:t>暂定为5个月</w:t>
      </w:r>
    </w:p>
    <w:p w14:paraId="375245C9">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2.服务内容：</w:t>
      </w:r>
    </w:p>
    <w:p w14:paraId="3BD1C28A">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3.服务地点：甲方指定的地点</w:t>
      </w:r>
    </w:p>
    <w:p w14:paraId="68AEBED1">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4.质量要求：符合国家及行业有关现行规范、标准的要求</w:t>
      </w:r>
    </w:p>
    <w:p w14:paraId="1140DAFF">
      <w:pPr>
        <w:keepNext w:val="0"/>
        <w:keepLines w:val="0"/>
        <w:pageBreakBefore w:val="0"/>
        <w:widowControl/>
        <w:kinsoku/>
        <w:wordWrap/>
        <w:overflowPunct/>
        <w:topLinePunct w:val="0"/>
        <w:autoSpaceDE/>
        <w:autoSpaceDN/>
        <w:bidi w:val="0"/>
        <w:adjustRightInd/>
        <w:snapToGrid/>
        <w:spacing w:line="312" w:lineRule="auto"/>
        <w:ind w:firstLine="402" w:firstLineChars="200"/>
        <w:jc w:val="both"/>
        <w:textAlignment w:val="auto"/>
        <w:rPr>
          <w:rFonts w:hint="eastAsia" w:ascii="宋体" w:hAnsi="宋体" w:eastAsia="宋体" w:cs="宋体"/>
          <w:b/>
          <w:bCs/>
          <w:sz w:val="20"/>
          <w:szCs w:val="20"/>
          <w:highlight w:val="none"/>
          <w:lang w:eastAsia="zh-CN"/>
        </w:rPr>
      </w:pPr>
      <w:r>
        <w:rPr>
          <w:rFonts w:hint="eastAsia" w:ascii="宋体" w:hAnsi="宋体" w:eastAsia="宋体" w:cs="宋体"/>
          <w:b/>
          <w:bCs/>
          <w:sz w:val="20"/>
          <w:szCs w:val="20"/>
          <w:highlight w:val="none"/>
        </w:rPr>
        <w:t>第三条 合同</w:t>
      </w:r>
      <w:r>
        <w:rPr>
          <w:rFonts w:hint="eastAsia" w:ascii="宋体" w:hAnsi="宋体" w:eastAsia="宋体" w:cs="宋体"/>
          <w:b/>
          <w:bCs/>
          <w:sz w:val="20"/>
          <w:szCs w:val="20"/>
          <w:highlight w:val="none"/>
          <w:lang w:eastAsia="zh-CN"/>
        </w:rPr>
        <w:t>价款</w:t>
      </w:r>
    </w:p>
    <w:p w14:paraId="6F5B7FF0">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1.本项目合同价款方式为固定单价。</w:t>
      </w:r>
    </w:p>
    <w:p w14:paraId="689AF3AF">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2.合同金额为人民币</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lang w:val="en-US" w:eastAsia="zh-CN"/>
        </w:rPr>
        <w:t>元，大写：</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lang w:val="en-US" w:eastAsia="zh-CN"/>
        </w:rPr>
        <w:t>。</w:t>
      </w:r>
    </w:p>
    <w:p w14:paraId="0A100524">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合同价款包括但不限于完成本服务项目的人员劳务费用、工器具费用、工装、车辆及设施设备运行、有毒有害垃圾处置、宣传资料设计印刷及安装费用等所有直接费、间接费、保险费、利润和税金以及乙方必须花费的其他费用，并全面考虑所有风险和责任、义务等的全部费用，合同有效期内该价格不因任何因素变化而调整。</w:t>
      </w:r>
    </w:p>
    <w:p w14:paraId="2AADBBD2">
      <w:pPr>
        <w:keepNext w:val="0"/>
        <w:keepLines w:val="0"/>
        <w:pageBreakBefore w:val="0"/>
        <w:widowControl/>
        <w:kinsoku/>
        <w:wordWrap/>
        <w:overflowPunct/>
        <w:topLinePunct w:val="0"/>
        <w:autoSpaceDE/>
        <w:autoSpaceDN/>
        <w:bidi w:val="0"/>
        <w:adjustRightInd/>
        <w:snapToGrid/>
        <w:spacing w:line="312" w:lineRule="auto"/>
        <w:ind w:firstLine="402" w:firstLineChars="200"/>
        <w:jc w:val="both"/>
        <w:textAlignment w:val="auto"/>
        <w:rPr>
          <w:rFonts w:hint="eastAsia" w:ascii="宋体" w:hAnsi="宋体" w:eastAsia="宋体" w:cs="宋体"/>
          <w:b/>
          <w:bCs/>
          <w:sz w:val="20"/>
          <w:szCs w:val="20"/>
          <w:highlight w:val="none"/>
        </w:rPr>
      </w:pPr>
      <w:r>
        <w:rPr>
          <w:rFonts w:hint="eastAsia" w:ascii="宋体" w:hAnsi="宋体" w:eastAsia="宋体" w:cs="宋体"/>
          <w:b/>
          <w:bCs/>
          <w:sz w:val="20"/>
          <w:szCs w:val="20"/>
          <w:highlight w:val="none"/>
          <w:lang w:val="en-US" w:eastAsia="zh-CN"/>
        </w:rPr>
        <w:t xml:space="preserve">第四条 </w:t>
      </w:r>
      <w:r>
        <w:rPr>
          <w:rFonts w:hint="eastAsia" w:ascii="宋体" w:hAnsi="宋体" w:eastAsia="宋体" w:cs="宋体"/>
          <w:b/>
          <w:bCs/>
          <w:sz w:val="20"/>
          <w:szCs w:val="20"/>
          <w:highlight w:val="none"/>
        </w:rPr>
        <w:t>付款方式及依据</w:t>
      </w:r>
    </w:p>
    <w:p w14:paraId="51C4E80F">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1.付款方式</w:t>
      </w:r>
    </w:p>
    <w:p w14:paraId="6866EA98">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（1）本合同项下所有款项均以人民币支付。</w:t>
      </w:r>
    </w:p>
    <w:p w14:paraId="20E2A01E">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（2）款项的支付进度应符合如下约定：</w:t>
      </w:r>
    </w:p>
    <w:p w14:paraId="04CBB019">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default"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①合同金额设置：合同总价=费率系数*（成交单价*实际完成工作量）</w:t>
      </w:r>
    </w:p>
    <w:p w14:paraId="3C11BF88">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en-US"/>
        </w:rPr>
      </w:pPr>
      <w:r>
        <w:rPr>
          <w:rFonts w:hint="eastAsia" w:ascii="宋体" w:hAnsi="宋体" w:eastAsia="宋体" w:cs="宋体"/>
          <w:sz w:val="20"/>
          <w:szCs w:val="20"/>
          <w:highlight w:val="none"/>
          <w:lang w:val="en-US" w:eastAsia="zh-CN"/>
        </w:rPr>
        <w:t>②</w:t>
      </w:r>
      <w:r>
        <w:rPr>
          <w:rFonts w:hint="eastAsia" w:ascii="宋体" w:hAnsi="宋体" w:eastAsia="宋体" w:cs="宋体"/>
          <w:sz w:val="20"/>
          <w:szCs w:val="20"/>
          <w:highlight w:val="none"/>
          <w:lang w:val="en-US" w:eastAsia="en-US"/>
        </w:rPr>
        <w:t>付款方式：</w:t>
      </w:r>
    </w:p>
    <w:p w14:paraId="73B63550">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1）预付款支付设置：</w:t>
      </w:r>
    </w:p>
    <w:p w14:paraId="28D386AB">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付款条件：合同签订后20个工作日内</w:t>
      </w:r>
    </w:p>
    <w:p w14:paraId="53783A12">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付款金额：支付暂定合同总价（成交总价）的15%；</w:t>
      </w:r>
    </w:p>
    <w:p w14:paraId="56EFE3AB">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其他：本项目预付款是根据政府采购相关政策规定要求，甲方为帮助乙方解决项目前期启动资金困难，保证乙方更有条件履行合同的保障性支援性资金。乙方应保证该资金用于项目前期各项工作费用，不得挪作他用，若因此项目进展受到影响，乙方承担由此引起的所有责任。</w:t>
      </w:r>
    </w:p>
    <w:p w14:paraId="456B3413">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default"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2）剩余合同价款支付设置：</w:t>
      </w:r>
    </w:p>
    <w:p w14:paraId="1A65D8F9">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付款条件：待</w:t>
      </w:r>
      <w:r>
        <w:rPr>
          <w:rFonts w:hint="eastAsia" w:ascii="宋体" w:hAnsi="宋体" w:eastAsia="宋体" w:cs="宋体"/>
          <w:sz w:val="20"/>
          <w:szCs w:val="20"/>
          <w:highlight w:val="none"/>
          <w:lang w:val="en-US" w:eastAsia="en-US"/>
        </w:rPr>
        <w:t>服务期结束后</w:t>
      </w:r>
      <w:r>
        <w:rPr>
          <w:rFonts w:hint="eastAsia" w:ascii="宋体" w:hAnsi="宋体" w:eastAsia="宋体" w:cs="宋体"/>
          <w:sz w:val="20"/>
          <w:szCs w:val="20"/>
          <w:highlight w:val="none"/>
          <w:lang w:val="en-US" w:eastAsia="zh-CN"/>
        </w:rPr>
        <w:t>，</w:t>
      </w:r>
      <w:r>
        <w:rPr>
          <w:rFonts w:hint="eastAsia" w:ascii="宋体" w:hAnsi="宋体" w:eastAsia="宋体" w:cs="宋体"/>
          <w:sz w:val="20"/>
          <w:szCs w:val="20"/>
          <w:highlight w:val="none"/>
          <w:lang w:val="en-US" w:eastAsia="en-US"/>
        </w:rPr>
        <w:t>乙方按照实际</w:t>
      </w:r>
      <w:r>
        <w:rPr>
          <w:rFonts w:hint="eastAsia" w:ascii="宋体" w:hAnsi="宋体" w:eastAsia="宋体" w:cs="宋体"/>
          <w:sz w:val="20"/>
          <w:szCs w:val="20"/>
          <w:highlight w:val="none"/>
          <w:lang w:val="en-US" w:eastAsia="zh-CN"/>
        </w:rPr>
        <w:t>完成</w:t>
      </w:r>
      <w:r>
        <w:rPr>
          <w:rFonts w:hint="eastAsia" w:ascii="宋体" w:hAnsi="宋体" w:eastAsia="宋体" w:cs="宋体"/>
          <w:sz w:val="20"/>
          <w:szCs w:val="20"/>
          <w:highlight w:val="none"/>
          <w:lang w:val="en-US" w:eastAsia="en-US"/>
        </w:rPr>
        <w:t>工作量向甲方出具书面付款申请，甲方根据《西安浐灞国际港（浐灞片区）2024年生活垃圾处理服务项目标准及评分标准》服务评分考核情况及实际工作</w:t>
      </w:r>
      <w:r>
        <w:rPr>
          <w:rFonts w:hint="eastAsia" w:ascii="宋体" w:hAnsi="宋体" w:eastAsia="宋体" w:cs="宋体"/>
          <w:sz w:val="20"/>
          <w:szCs w:val="20"/>
          <w:highlight w:val="none"/>
          <w:lang w:val="en-US" w:eastAsia="zh-CN"/>
        </w:rPr>
        <w:t>完成情况据实结算</w:t>
      </w:r>
      <w:r>
        <w:rPr>
          <w:rFonts w:hint="eastAsia" w:ascii="宋体" w:hAnsi="宋体" w:eastAsia="宋体" w:cs="宋体"/>
          <w:sz w:val="20"/>
          <w:szCs w:val="20"/>
          <w:highlight w:val="none"/>
          <w:lang w:val="en-US" w:eastAsia="en-US"/>
        </w:rPr>
        <w:t>。</w:t>
      </w:r>
    </w:p>
    <w:p w14:paraId="01EFB7FD">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default"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付款金额：费率系数*（成交单价*实际完成工作量）-已支付的预付款</w:t>
      </w:r>
    </w:p>
    <w:p w14:paraId="21130C39">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付款依据：满足付款条件的情况下，乙方应向甲方出具书面付款申请（注明开户行及账户信息）以及符合国家财税规定的增值税发票，否则甲方有权延迟履行付款义务。如因乙方缘故（如开具增值税发票延误等）导致甲方无法按时付款，甲方不承担违约责任。</w:t>
      </w:r>
    </w:p>
    <w:p w14:paraId="17F5B2EF">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乙方收款账户如下：</w:t>
      </w:r>
    </w:p>
    <w:p w14:paraId="63C1983B">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 xml:space="preserve">户  名：                       </w:t>
      </w:r>
    </w:p>
    <w:p w14:paraId="1E61A2F2">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 xml:space="preserve">开户行：                       </w:t>
      </w:r>
    </w:p>
    <w:p w14:paraId="0021AE09">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 xml:space="preserve">账  号：                       </w:t>
      </w:r>
    </w:p>
    <w:p w14:paraId="0472686D">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（3）款项的支付比例应符合如下约定（费率系数）：</w:t>
      </w:r>
    </w:p>
    <w:p w14:paraId="085E2D2B">
      <w:pPr>
        <w:keepNext w:val="0"/>
        <w:keepLines w:val="0"/>
        <w:pageBreakBefore w:val="0"/>
        <w:widowControl/>
        <w:kinsoku/>
        <w:wordWrap/>
        <w:overflowPunct/>
        <w:topLinePunct w:val="0"/>
        <w:autoSpaceDE/>
        <w:autoSpaceDN/>
        <w:bidi w:val="0"/>
        <w:adjustRightInd/>
        <w:snapToGrid/>
        <w:spacing w:line="312" w:lineRule="auto"/>
        <w:ind w:firstLine="400" w:firstLineChars="200"/>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根据《西安浐灞国际港（浐灞片区）2024年生活垃圾处理服务项目标准及评分标准》，对乙方进行服务评分考核，考核总分为100分；95分及以上，费率系数为100%，将全额拨付服务费，服务费按照实际工作内容完成情况据实结算；95分以下，每低1分扣除服务费的0.2%，费率系数为100%-（95-绩效考核得分）×0.2%。</w:t>
      </w:r>
    </w:p>
    <w:p w14:paraId="61E59E9F">
      <w:pPr>
        <w:keepNext w:val="0"/>
        <w:keepLines w:val="0"/>
        <w:pageBreakBefore w:val="0"/>
        <w:widowControl/>
        <w:kinsoku/>
        <w:wordWrap/>
        <w:overflowPunct/>
        <w:topLinePunct w:val="0"/>
        <w:autoSpaceDE/>
        <w:autoSpaceDN/>
        <w:bidi w:val="0"/>
        <w:adjustRightInd/>
        <w:snapToGrid/>
        <w:spacing w:line="312" w:lineRule="auto"/>
        <w:ind w:firstLine="402" w:firstLineChars="200"/>
        <w:jc w:val="both"/>
        <w:textAlignment w:val="auto"/>
        <w:rPr>
          <w:rFonts w:hint="eastAsia" w:ascii="宋体" w:hAnsi="宋体" w:eastAsia="宋体" w:cs="宋体"/>
          <w:b/>
          <w:bCs/>
          <w:sz w:val="20"/>
          <w:szCs w:val="20"/>
          <w:highlight w:val="none"/>
          <w:lang w:val="zh-CN" w:eastAsia="zh-CN"/>
        </w:rPr>
      </w:pPr>
      <w:r>
        <w:rPr>
          <w:rFonts w:hint="eastAsia" w:ascii="宋体" w:hAnsi="宋体" w:eastAsia="宋体" w:cs="宋体"/>
          <w:b/>
          <w:bCs/>
          <w:sz w:val="20"/>
          <w:szCs w:val="20"/>
          <w:highlight w:val="none"/>
          <w:lang w:val="en-US" w:eastAsia="zh-CN"/>
        </w:rPr>
        <w:t xml:space="preserve">第五条 </w:t>
      </w:r>
      <w:r>
        <w:rPr>
          <w:rFonts w:hint="eastAsia" w:ascii="宋体" w:hAnsi="宋体" w:eastAsia="宋体" w:cs="宋体"/>
          <w:b/>
          <w:bCs/>
          <w:sz w:val="20"/>
          <w:szCs w:val="20"/>
          <w:highlight w:val="none"/>
          <w:lang w:val="zh-CN" w:eastAsia="zh-CN"/>
        </w:rPr>
        <w:t>项目管理服务</w:t>
      </w:r>
    </w:p>
    <w:p w14:paraId="2B819CFF">
      <w:pPr>
        <w:keepNext w:val="0"/>
        <w:keepLines w:val="0"/>
        <w:pageBreakBefore w:val="0"/>
        <w:widowControl w:val="0"/>
        <w:kinsoku/>
        <w:wordWrap/>
        <w:overflowPunct/>
        <w:topLinePunct w:val="0"/>
        <w:autoSpaceDE/>
        <w:autoSpaceDN/>
        <w:bidi w:val="0"/>
        <w:adjustRightInd/>
        <w:snapToGrid/>
        <w:spacing w:before="0" w:after="0" w:line="312" w:lineRule="auto"/>
        <w:ind w:left="0" w:right="0"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乙方要指定不少于1人全权全程负责本项目的运营管理服务，以及后续服务的落实、咨询、执行等后续工作。</w:t>
      </w:r>
    </w:p>
    <w:p w14:paraId="44A6D25F">
      <w:pPr>
        <w:keepNext w:val="0"/>
        <w:keepLines w:val="0"/>
        <w:pageBreakBefore w:val="0"/>
        <w:widowControl/>
        <w:kinsoku/>
        <w:wordWrap/>
        <w:overflowPunct/>
        <w:topLinePunct w:val="0"/>
        <w:autoSpaceDE/>
        <w:autoSpaceDN/>
        <w:bidi w:val="0"/>
        <w:adjustRightInd/>
        <w:snapToGrid/>
        <w:spacing w:line="312" w:lineRule="auto"/>
        <w:ind w:firstLine="400" w:firstLineChars="200"/>
        <w:jc w:val="both"/>
        <w:textAlignment w:val="auto"/>
        <w:rPr>
          <w:rFonts w:hint="eastAsia" w:ascii="宋体" w:hAnsi="宋体" w:eastAsia="宋体" w:cs="宋体"/>
          <w:b/>
          <w:bCs/>
          <w:sz w:val="20"/>
          <w:szCs w:val="20"/>
          <w:highlight w:val="none"/>
          <w:lang w:val="en-US" w:eastAsia="zh-CN"/>
        </w:rPr>
      </w:pPr>
      <w:r>
        <w:rPr>
          <w:rFonts w:hint="eastAsia" w:ascii="宋体" w:hAnsi="宋体" w:eastAsia="宋体" w:cs="宋体"/>
          <w:bCs/>
          <w:sz w:val="20"/>
          <w:szCs w:val="20"/>
          <w:highlight w:val="none"/>
          <w:u w:val="none"/>
          <w:lang w:eastAsia="zh-CN"/>
        </w:rPr>
        <w:t>本项目</w:t>
      </w:r>
      <w:r>
        <w:rPr>
          <w:rFonts w:hint="eastAsia" w:ascii="宋体" w:hAnsi="宋体" w:eastAsia="宋体" w:cs="宋体"/>
          <w:bCs/>
          <w:sz w:val="20"/>
          <w:szCs w:val="20"/>
          <w:highlight w:val="none"/>
        </w:rPr>
        <w:t>拟派</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为</w:t>
      </w:r>
      <w:r>
        <w:rPr>
          <w:rFonts w:hint="eastAsia" w:ascii="宋体" w:hAnsi="宋体" w:eastAsia="宋体" w:cs="宋体"/>
          <w:bCs/>
          <w:sz w:val="20"/>
          <w:szCs w:val="20"/>
          <w:highlight w:val="none"/>
          <w:lang w:eastAsia="zh-CN"/>
        </w:rPr>
        <w:t>联系人</w:t>
      </w:r>
      <w:r>
        <w:rPr>
          <w:rFonts w:hint="eastAsia" w:ascii="宋体" w:hAnsi="宋体" w:eastAsia="宋体" w:cs="宋体"/>
          <w:bCs/>
          <w:sz w:val="20"/>
          <w:szCs w:val="20"/>
          <w:highlight w:val="none"/>
        </w:rPr>
        <w:t>，联系电话：</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，身份证号：</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none"/>
        </w:rPr>
        <w:t>。</w:t>
      </w:r>
    </w:p>
    <w:p w14:paraId="79EA35ED">
      <w:pPr>
        <w:keepNext w:val="0"/>
        <w:keepLines w:val="0"/>
        <w:pageBreakBefore w:val="0"/>
        <w:widowControl/>
        <w:kinsoku/>
        <w:wordWrap/>
        <w:overflowPunct/>
        <w:topLinePunct w:val="0"/>
        <w:autoSpaceDE/>
        <w:autoSpaceDN/>
        <w:bidi w:val="0"/>
        <w:adjustRightInd/>
        <w:snapToGrid/>
        <w:spacing w:line="312" w:lineRule="auto"/>
        <w:ind w:firstLine="402" w:firstLineChars="200"/>
        <w:jc w:val="both"/>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 xml:space="preserve">第六条 </w:t>
      </w:r>
      <w:r>
        <w:rPr>
          <w:rFonts w:hint="eastAsia" w:ascii="宋体" w:hAnsi="宋体" w:eastAsia="宋体" w:cs="宋体"/>
          <w:b/>
          <w:bCs/>
          <w:sz w:val="20"/>
          <w:szCs w:val="20"/>
          <w:highlight w:val="none"/>
          <w:lang w:val="zh-CN" w:eastAsia="zh-CN"/>
        </w:rPr>
        <w:t>甲方的主要责任和权利</w:t>
      </w:r>
    </w:p>
    <w:p w14:paraId="0337F0F7">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1.甲方应指导乙方做好生活垃圾分类工作，为乙方提供必要的工作便利。</w:t>
      </w:r>
    </w:p>
    <w:p w14:paraId="6829455F">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2.甲方对垃圾分类服务质量进行监督检查，并按照《西安市生活垃圾分类管理条例》和《西安浐灞国际港（浐灞片区）2024年生活垃圾处理服务项目标准及评分标准》，对乙方提供的管理服务质量进行考核。</w:t>
      </w:r>
    </w:p>
    <w:p w14:paraId="0C0FD9E0">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3.甲方有权要求乙方对不能胜任工作的项目管理人员进行更换。</w:t>
      </w:r>
    </w:p>
    <w:p w14:paraId="77F1C64A">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4.甲方有权对乙方使用第三方软件运行情况、设施设备维护运行管理及厨余垃圾处置、可回收物、有毒有害垃圾处置流向进行监督检查。</w:t>
      </w:r>
    </w:p>
    <w:p w14:paraId="05D933E0">
      <w:pPr>
        <w:keepNext w:val="0"/>
        <w:keepLines w:val="0"/>
        <w:pageBreakBefore w:val="0"/>
        <w:widowControl/>
        <w:kinsoku/>
        <w:wordWrap/>
        <w:overflowPunct/>
        <w:topLinePunct w:val="0"/>
        <w:autoSpaceDE/>
        <w:autoSpaceDN/>
        <w:bidi w:val="0"/>
        <w:adjustRightInd/>
        <w:snapToGrid/>
        <w:spacing w:line="312" w:lineRule="auto"/>
        <w:ind w:firstLine="402" w:firstLineChars="200"/>
        <w:jc w:val="both"/>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第七条 乙方的主要责任和权利</w:t>
      </w:r>
    </w:p>
    <w:p w14:paraId="2C95228D">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1.乙方应依法从事生活垃圾分类运营工作，须严格按照省市及管委会有关生活垃圾分类规定，服从甲方的监督、管理，切实采取有效措施保证本项目服务区域的生活垃圾分类工作符合甲方质量标准要求。</w:t>
      </w:r>
    </w:p>
    <w:p w14:paraId="3FC6C8AD">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2.乙方应按照国家相关法律规定和采购文件要求，规范用工，配备足额管理人员及运营作业人员，相关人员依法缴纳社会保险，保障工资、福利待遇按时足额发放。</w:t>
      </w:r>
    </w:p>
    <w:p w14:paraId="56932486">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3.乙方应对国内垃圾分类工作发展趋势充分调研、评估，本项目中涉及的作业标准、验收标准、考核指标等内容，如国家和省市区出台政策文件需要调整，乙方需无条件服从。</w:t>
      </w:r>
    </w:p>
    <w:p w14:paraId="0601A15D">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乙方因对工作人员进行相应的岗位培训。定期对人员进行岗位知识、工作技能、应急预案和思想教育。拟派项目组人员不得随意更换，若需更换，须向甲方提交变更人员情况说明，经甲方审核确认同意后方可变更。</w:t>
      </w:r>
    </w:p>
    <w:p w14:paraId="74DB7818">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5.乙方必须遵循安全作业和文明作业的规定，在履行本合同的过程中，采取严格的安全防范措施。</w:t>
      </w:r>
    </w:p>
    <w:p w14:paraId="4BAF3280">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b/>
          <w:bCs/>
          <w:sz w:val="20"/>
          <w:szCs w:val="20"/>
          <w:highlight w:val="none"/>
        </w:rPr>
      </w:pPr>
      <w:r>
        <w:rPr>
          <w:rFonts w:hint="eastAsia" w:ascii="宋体" w:hAnsi="宋体" w:eastAsia="宋体" w:cs="宋体"/>
          <w:sz w:val="20"/>
          <w:szCs w:val="20"/>
          <w:highlight w:val="none"/>
          <w:lang w:val="en-US" w:eastAsia="zh-CN"/>
        </w:rPr>
        <w:t>6.乙方不得将承包事项再转包。</w:t>
      </w:r>
    </w:p>
    <w:p w14:paraId="6B7523AF">
      <w:pPr>
        <w:keepNext w:val="0"/>
        <w:keepLines w:val="0"/>
        <w:pageBreakBefore w:val="0"/>
        <w:widowControl/>
        <w:kinsoku/>
        <w:wordWrap/>
        <w:overflowPunct/>
        <w:topLinePunct w:val="0"/>
        <w:autoSpaceDE/>
        <w:autoSpaceDN/>
        <w:bidi w:val="0"/>
        <w:adjustRightInd/>
        <w:snapToGrid/>
        <w:spacing w:line="312" w:lineRule="auto"/>
        <w:ind w:firstLine="402" w:firstLineChars="200"/>
        <w:jc w:val="both"/>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 xml:space="preserve">第八条 </w:t>
      </w:r>
      <w:r>
        <w:rPr>
          <w:rFonts w:hint="eastAsia" w:ascii="宋体" w:hAnsi="宋体" w:eastAsia="宋体" w:cs="宋体"/>
          <w:b/>
          <w:bCs/>
          <w:color w:val="auto"/>
          <w:sz w:val="20"/>
          <w:szCs w:val="20"/>
          <w:highlight w:val="none"/>
        </w:rPr>
        <w:t>验收标准</w:t>
      </w:r>
    </w:p>
    <w:p w14:paraId="11466D96">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1.严格按照《西安市生活垃圾分类管理条例》省、市相关文件要求及行业管理规定进行工作和验收。</w:t>
      </w:r>
    </w:p>
    <w:p w14:paraId="78384359">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2.甲方应及时按规定对乙方服务进行系统验收并出具相关验收证明材料，具体验收时间由双方协商。</w:t>
      </w:r>
    </w:p>
    <w:p w14:paraId="6A57B88E">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3.如属于非甲方的原因致使未通过系统验收，乙方应排除故障，并承担相关费用，直至完全符合验收标准。</w:t>
      </w:r>
    </w:p>
    <w:p w14:paraId="2544D21E">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4.经验收合格后，垃圾分类运行平台达到相关要求。</w:t>
      </w:r>
    </w:p>
    <w:p w14:paraId="32FC8010">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5.服务质量符合国家法律法规规定的合格标准、采购文件、响应文件的要求。</w:t>
      </w:r>
    </w:p>
    <w:p w14:paraId="753286BC">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6.服务标准应符合《西安浐灞国际港（浐灞片区）2024年生活垃圾处理服务项目标准及评分标准》要求。</w:t>
      </w:r>
    </w:p>
    <w:p w14:paraId="4A1E6FB6">
      <w:pPr>
        <w:keepNext w:val="0"/>
        <w:keepLines w:val="0"/>
        <w:pageBreakBefore w:val="0"/>
        <w:widowControl/>
        <w:kinsoku/>
        <w:wordWrap/>
        <w:overflowPunct/>
        <w:topLinePunct w:val="0"/>
        <w:autoSpaceDE/>
        <w:autoSpaceDN/>
        <w:bidi w:val="0"/>
        <w:adjustRightInd/>
        <w:snapToGrid/>
        <w:spacing w:line="312" w:lineRule="auto"/>
        <w:ind w:firstLine="402" w:firstLineChars="200"/>
        <w:jc w:val="both"/>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第九条 违约责任</w:t>
      </w:r>
    </w:p>
    <w:p w14:paraId="5172298B">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1.甲方违反合同规定拒绝接货的，应当承担由此对乙方造成的损失。</w:t>
      </w:r>
    </w:p>
    <w:p w14:paraId="1F53CB5E">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2.甲方不能按期付款，应承担相应违约责任。</w:t>
      </w:r>
    </w:p>
    <w:p w14:paraId="1D53A4CE">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3.乙方对甲方提出的问题应及时整改，如有拖欠或不服管理，甲方可要求乙方承担相应违约责任，情况严重时甲方可单方面解除合同。</w:t>
      </w:r>
    </w:p>
    <w:p w14:paraId="023E1BAC">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4.乙方应当确保本项目服务工作所使用的物料、设备和技术等不侵犯任何第三人的合法权益及知识产权。如因乙方提供的物料、设备和技术等侵犯第三人合法权益及知识产权的，乙方自行向第三人承担赔偿责任。</w:t>
      </w:r>
    </w:p>
    <w:p w14:paraId="56D5A05D">
      <w:pPr>
        <w:keepNext w:val="0"/>
        <w:keepLines w:val="0"/>
        <w:pageBreakBefore w:val="0"/>
        <w:widowControl/>
        <w:kinsoku/>
        <w:wordWrap/>
        <w:overflowPunct/>
        <w:topLinePunct w:val="0"/>
        <w:autoSpaceDE/>
        <w:autoSpaceDN/>
        <w:bidi w:val="0"/>
        <w:adjustRightInd/>
        <w:snapToGrid/>
        <w:spacing w:line="312" w:lineRule="auto"/>
        <w:ind w:firstLine="402" w:firstLineChars="200"/>
        <w:jc w:val="both"/>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第十条 合同的生效、变更和终止</w:t>
      </w:r>
    </w:p>
    <w:p w14:paraId="422DEBD9">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1.本合同经甲乙双方授权代表签字并加盖公章或合同专用章后生效。</w:t>
      </w:r>
    </w:p>
    <w:p w14:paraId="7C5C9A8C">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2.生效后，除《政府采购法》第49条、第50条第二款规定的情形外，甲乙双方不得擅自变更、中止或终止合同。</w:t>
      </w:r>
    </w:p>
    <w:p w14:paraId="256F7996">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3.如遇政策调整或相关部门要求，导致不能按时或完全履行合同，双方免于承担责任。</w:t>
      </w:r>
    </w:p>
    <w:p w14:paraId="63E8427A">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4.政府采购合同履行中，甲方需追加与合同标的相同的货物、工程或者服务的，在不改变合同其他条款的前提下，可以与乙方协商签订补充合同，但所有补充合同的采购金额不得超过原合同采购金额的百分之十。</w:t>
      </w:r>
    </w:p>
    <w:p w14:paraId="0A0A7F26">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5.除《中华人民共和国政府采购法》第49条、第50条第二款规定的情形外，本合同一经签订，甲乙双方不得擅自变更、中止或终止合同。</w:t>
      </w:r>
    </w:p>
    <w:p w14:paraId="1EBCA103">
      <w:pPr>
        <w:keepNext w:val="0"/>
        <w:keepLines w:val="0"/>
        <w:pageBreakBefore w:val="0"/>
        <w:widowControl/>
        <w:kinsoku/>
        <w:wordWrap/>
        <w:overflowPunct/>
        <w:topLinePunct w:val="0"/>
        <w:autoSpaceDE/>
        <w:autoSpaceDN/>
        <w:bidi w:val="0"/>
        <w:adjustRightInd/>
        <w:snapToGrid/>
        <w:spacing w:line="312" w:lineRule="auto"/>
        <w:ind w:firstLine="402" w:firstLineChars="200"/>
        <w:jc w:val="both"/>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第十一条 监督和管理</w:t>
      </w:r>
    </w:p>
    <w:p w14:paraId="09A3A175">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甲乙双方均应自觉配合有关监督管理部门对合同履行情况的监督检查，如实反映情况，提供有关资料；否则，将对有关单位、当事人按照有关规定予以处罚。</w:t>
      </w:r>
    </w:p>
    <w:p w14:paraId="7EFDDD2D">
      <w:pPr>
        <w:keepNext w:val="0"/>
        <w:keepLines w:val="0"/>
        <w:pageBreakBefore w:val="0"/>
        <w:widowControl/>
        <w:kinsoku/>
        <w:wordWrap/>
        <w:overflowPunct/>
        <w:topLinePunct w:val="0"/>
        <w:autoSpaceDE/>
        <w:autoSpaceDN/>
        <w:bidi w:val="0"/>
        <w:adjustRightInd/>
        <w:snapToGrid/>
        <w:spacing w:line="312" w:lineRule="auto"/>
        <w:ind w:firstLine="402" w:firstLineChars="200"/>
        <w:jc w:val="both"/>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第十二条 合同争议的解决</w:t>
      </w:r>
    </w:p>
    <w:p w14:paraId="59981B58">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本合同履行过程中发生的任何争议，双方当事人均可通过和解或者调解解决；不愿和解、调解或者和解、调解不成的，同意提交西安仲裁委员会仲裁。</w:t>
      </w:r>
    </w:p>
    <w:p w14:paraId="5969A1E5">
      <w:pPr>
        <w:keepNext w:val="0"/>
        <w:keepLines w:val="0"/>
        <w:pageBreakBefore w:val="0"/>
        <w:widowControl/>
        <w:kinsoku/>
        <w:wordWrap/>
        <w:overflowPunct/>
        <w:topLinePunct w:val="0"/>
        <w:autoSpaceDE/>
        <w:autoSpaceDN/>
        <w:bidi w:val="0"/>
        <w:adjustRightInd/>
        <w:snapToGrid/>
        <w:spacing w:line="312" w:lineRule="auto"/>
        <w:ind w:firstLine="402" w:firstLineChars="200"/>
        <w:jc w:val="both"/>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val="en-US" w:eastAsia="zh-CN"/>
        </w:rPr>
        <w:t>第十三条 附则</w:t>
      </w:r>
    </w:p>
    <w:p w14:paraId="358A1F73">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1.采购项目的</w:t>
      </w:r>
      <w:r>
        <w:rPr>
          <w:rFonts w:hint="eastAsia" w:ascii="宋体" w:hAnsi="宋体" w:eastAsia="宋体" w:cs="宋体"/>
          <w:sz w:val="20"/>
          <w:szCs w:val="20"/>
          <w:highlight w:val="none"/>
          <w:lang w:val="en-US" w:eastAsia="zh-CN"/>
        </w:rPr>
        <w:fldChar w:fldCharType="begin"/>
      </w:r>
      <w:r>
        <w:rPr>
          <w:rFonts w:hint="eastAsia" w:ascii="宋体" w:hAnsi="宋体" w:eastAsia="宋体" w:cs="宋体"/>
          <w:sz w:val="20"/>
          <w:szCs w:val="20"/>
          <w:highlight w:val="none"/>
          <w:lang w:val="en-US" w:eastAsia="zh-CN"/>
        </w:rPr>
        <w:instrText xml:space="preserve">HYPERLINK "http://set2.mail.qq.com/cgi-bin/mail_spam?action=check_link&amp;spam=0&amp;url=http%3A%2F%2Fwww%2Ebaidu%2Ecom%2Fs%3Fwd%3D%25E6%258B%259B%25E6%25A0%2587%25E6%2596%2587%25E4%25BB%25B6%26hl_tag%3Dtextlink%26tn%3DSE_hldp01350_v6v6zkg6" </w:instrText>
      </w:r>
      <w:r>
        <w:rPr>
          <w:rFonts w:hint="eastAsia" w:ascii="宋体" w:hAnsi="宋体" w:eastAsia="宋体" w:cs="宋体"/>
          <w:sz w:val="20"/>
          <w:szCs w:val="20"/>
          <w:highlight w:val="none"/>
          <w:lang w:val="en-US" w:eastAsia="zh-CN"/>
        </w:rPr>
        <w:fldChar w:fldCharType="separate"/>
      </w:r>
      <w:r>
        <w:rPr>
          <w:rFonts w:hint="eastAsia" w:ascii="宋体" w:hAnsi="宋体" w:eastAsia="宋体" w:cs="宋体"/>
          <w:sz w:val="20"/>
          <w:szCs w:val="20"/>
          <w:highlight w:val="none"/>
          <w:lang w:val="en-US" w:eastAsia="zh-CN"/>
        </w:rPr>
        <w:t>采购文件</w:t>
      </w:r>
      <w:r>
        <w:rPr>
          <w:rFonts w:hint="eastAsia" w:ascii="宋体" w:hAnsi="宋体" w:eastAsia="宋体" w:cs="宋体"/>
          <w:sz w:val="20"/>
          <w:szCs w:val="20"/>
          <w:highlight w:val="none"/>
          <w:lang w:val="en-US" w:eastAsia="zh-CN"/>
        </w:rPr>
        <w:fldChar w:fldCharType="end"/>
      </w:r>
      <w:r>
        <w:rPr>
          <w:rFonts w:hint="eastAsia" w:ascii="宋体" w:hAnsi="宋体" w:eastAsia="宋体" w:cs="宋体"/>
          <w:sz w:val="20"/>
          <w:szCs w:val="20"/>
          <w:highlight w:val="none"/>
          <w:lang w:val="en-US" w:eastAsia="zh-CN"/>
        </w:rPr>
        <w:t>、成交通知书、乙方响应文件及澄清说明文件都是本合同的组成部分，甲、乙双方必须全面遵守，如有违反，应承担违约责任。</w:t>
      </w:r>
    </w:p>
    <w:p w14:paraId="3C59C9CD">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2.未尽事宜，双方协商解决。在本合同履行过程中将双方达成的书面补充协议是本合同不可分割的组成部分，与本合同具有同等效力。</w:t>
      </w:r>
    </w:p>
    <w:p w14:paraId="49D147EB">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3.本合同正本一式</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lang w:val="en-US" w:eastAsia="zh-CN"/>
        </w:rPr>
        <w:t>份，副本一式</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lang w:val="en-US" w:eastAsia="zh-CN"/>
        </w:rPr>
        <w:t>份，均以中文书写，在双方代表签字盖章后生效，甲方执正本</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lang w:val="en-US" w:eastAsia="zh-CN"/>
        </w:rPr>
        <w:t>份、副本</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lang w:val="en-US" w:eastAsia="zh-CN"/>
        </w:rPr>
        <w:t>份；乙方执正本</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lang w:val="en-US" w:eastAsia="zh-CN"/>
        </w:rPr>
        <w:t>份，副本</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lang w:val="en-US" w:eastAsia="zh-CN"/>
        </w:rPr>
        <w:t>份；政府采购管理部门备案副本一份，均具有同等法律效力。</w:t>
      </w:r>
    </w:p>
    <w:p w14:paraId="1654C6C3">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4.本合同自双方签字盖章之日起生效，合同执行完毕自动失效（合同的服务承诺长期有效）。</w:t>
      </w:r>
    </w:p>
    <w:p w14:paraId="7D82A2BB">
      <w:pPr>
        <w:keepNext w:val="0"/>
        <w:keepLines w:val="0"/>
        <w:pageBreakBefore w:val="0"/>
        <w:kinsoku/>
        <w:wordWrap/>
        <w:overflowPunct/>
        <w:topLinePunct w:val="0"/>
        <w:autoSpaceDE/>
        <w:autoSpaceDN/>
        <w:bidi w:val="0"/>
        <w:adjustRightInd/>
        <w:snapToGrid/>
        <w:spacing w:line="312" w:lineRule="auto"/>
        <w:ind w:firstLine="390" w:firstLineChars="195"/>
        <w:textAlignment w:val="auto"/>
        <w:rPr>
          <w:rFonts w:hint="eastAsia" w:ascii="宋体" w:hAnsi="宋体" w:eastAsia="宋体" w:cs="宋体"/>
          <w:b w:val="0"/>
          <w:bCs w:val="0"/>
          <w:sz w:val="20"/>
          <w:szCs w:val="20"/>
          <w:highlight w:val="none"/>
          <w:lang w:val="en-US" w:eastAsia="zh-CN"/>
        </w:rPr>
      </w:pPr>
      <w:r>
        <w:rPr>
          <w:rFonts w:hint="eastAsia" w:ascii="宋体" w:hAnsi="宋体" w:eastAsia="宋体" w:cs="宋体"/>
          <w:b w:val="0"/>
          <w:bCs w:val="0"/>
          <w:color w:val="auto"/>
          <w:sz w:val="20"/>
          <w:szCs w:val="20"/>
          <w:highlight w:val="none"/>
          <w:lang w:val="en-US" w:eastAsia="zh-CN"/>
        </w:rPr>
        <w:t>注：本合同条款为参考文本，具体内容由甲方及乙方协商确定。</w:t>
      </w:r>
    </w:p>
    <w:p w14:paraId="2429901D">
      <w:pPr>
        <w:pStyle w:val="2"/>
        <w:rPr>
          <w:rFonts w:hint="eastAsia" w:ascii="宋体" w:hAnsi="宋体" w:eastAsia="宋体" w:cs="宋体"/>
          <w:sz w:val="20"/>
          <w:szCs w:val="20"/>
          <w:highlight w:val="none"/>
        </w:rPr>
      </w:pPr>
    </w:p>
    <w:p w14:paraId="162C1E53">
      <w:pPr>
        <w:keepNext w:val="0"/>
        <w:keepLines w:val="0"/>
        <w:pageBreakBefore w:val="0"/>
        <w:widowControl/>
        <w:kinsoku/>
        <w:wordWrap/>
        <w:overflowPunct/>
        <w:topLinePunct w:val="0"/>
        <w:autoSpaceDE/>
        <w:autoSpaceDN/>
        <w:bidi w:val="0"/>
        <w:adjustRightInd/>
        <w:snapToGrid/>
        <w:spacing w:line="312" w:lineRule="auto"/>
        <w:ind w:firstLine="400" w:firstLineChars="200"/>
        <w:jc w:val="both"/>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采购人(甲方)：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 xml:space="preserve">供应商(乙方)： </w:t>
      </w:r>
    </w:p>
    <w:p w14:paraId="665C3C45">
      <w:pPr>
        <w:keepNext w:val="0"/>
        <w:keepLines w:val="0"/>
        <w:pageBreakBefore w:val="0"/>
        <w:widowControl/>
        <w:kinsoku/>
        <w:wordWrap/>
        <w:overflowPunct/>
        <w:topLinePunct w:val="0"/>
        <w:autoSpaceDE/>
        <w:autoSpaceDN/>
        <w:bidi w:val="0"/>
        <w:adjustRightInd/>
        <w:snapToGrid/>
        <w:spacing w:line="312" w:lineRule="auto"/>
        <w:ind w:firstLine="400" w:firstLineChars="200"/>
        <w:jc w:val="both"/>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法定代表人</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法定代表人</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 xml:space="preserve">： </w:t>
      </w:r>
    </w:p>
    <w:p w14:paraId="54CB2D39">
      <w:pPr>
        <w:keepNext w:val="0"/>
        <w:keepLines w:val="0"/>
        <w:pageBreakBefore w:val="0"/>
        <w:widowControl/>
        <w:kinsoku/>
        <w:wordWrap/>
        <w:overflowPunct/>
        <w:topLinePunct w:val="0"/>
        <w:autoSpaceDE/>
        <w:autoSpaceDN/>
        <w:bidi w:val="0"/>
        <w:adjustRightInd/>
        <w:snapToGrid/>
        <w:spacing w:line="312" w:lineRule="auto"/>
        <w:ind w:firstLine="400" w:firstLineChars="200"/>
        <w:jc w:val="both"/>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委托代理人</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委托代理人</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 xml:space="preserve">： </w:t>
      </w:r>
    </w:p>
    <w:p w14:paraId="4CF407B4">
      <w:pPr>
        <w:keepNext w:val="0"/>
        <w:keepLines w:val="0"/>
        <w:pageBreakBefore w:val="0"/>
        <w:widowControl/>
        <w:kinsoku/>
        <w:wordWrap/>
        <w:overflowPunct/>
        <w:topLinePunct w:val="0"/>
        <w:autoSpaceDE/>
        <w:autoSpaceDN/>
        <w:bidi w:val="0"/>
        <w:adjustRightInd/>
        <w:snapToGrid/>
        <w:spacing w:line="312" w:lineRule="auto"/>
        <w:ind w:firstLine="400" w:firstLineChars="200"/>
        <w:jc w:val="both"/>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开户银行</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fldChar w:fldCharType="begin"/>
      </w:r>
      <w:r>
        <w:rPr>
          <w:rFonts w:hint="eastAsia" w:ascii="宋体" w:hAnsi="宋体" w:eastAsia="宋体" w:cs="宋体"/>
          <w:sz w:val="20"/>
          <w:szCs w:val="20"/>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sz w:val="20"/>
          <w:szCs w:val="20"/>
          <w:highlight w:val="none"/>
        </w:rPr>
        <w:fldChar w:fldCharType="separate"/>
      </w:r>
      <w:r>
        <w:rPr>
          <w:rFonts w:hint="eastAsia" w:ascii="宋体" w:hAnsi="宋体" w:eastAsia="宋体" w:cs="宋体"/>
          <w:sz w:val="20"/>
          <w:szCs w:val="20"/>
          <w:highlight w:val="none"/>
        </w:rPr>
        <w:t>开户银行</w:t>
      </w:r>
      <w:r>
        <w:rPr>
          <w:rFonts w:hint="eastAsia" w:ascii="宋体" w:hAnsi="宋体" w:eastAsia="宋体" w:cs="宋体"/>
          <w:sz w:val="20"/>
          <w:szCs w:val="20"/>
          <w:highlight w:val="none"/>
        </w:rPr>
        <w:fldChar w:fldCharType="end"/>
      </w:r>
      <w:r>
        <w:rPr>
          <w:rFonts w:hint="eastAsia" w:ascii="宋体" w:hAnsi="宋体" w:eastAsia="宋体" w:cs="宋体"/>
          <w:sz w:val="20"/>
          <w:szCs w:val="20"/>
          <w:highlight w:val="none"/>
        </w:rPr>
        <w:t xml:space="preserve">： </w:t>
      </w:r>
    </w:p>
    <w:p w14:paraId="42B94C06">
      <w:pPr>
        <w:keepNext w:val="0"/>
        <w:keepLines w:val="0"/>
        <w:pageBreakBefore w:val="0"/>
        <w:widowControl/>
        <w:kinsoku/>
        <w:wordWrap/>
        <w:overflowPunct/>
        <w:topLinePunct w:val="0"/>
        <w:autoSpaceDE/>
        <w:autoSpaceDN/>
        <w:bidi w:val="0"/>
        <w:adjustRightInd/>
        <w:snapToGrid/>
        <w:spacing w:line="312" w:lineRule="auto"/>
        <w:ind w:firstLine="400" w:firstLineChars="200"/>
        <w:jc w:val="both"/>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帐    号：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 xml:space="preserve">帐    号： </w:t>
      </w:r>
    </w:p>
    <w:p w14:paraId="77D42FF7">
      <w:pPr>
        <w:keepNext w:val="0"/>
        <w:keepLines w:val="0"/>
        <w:pageBreakBefore w:val="0"/>
        <w:widowControl/>
        <w:kinsoku/>
        <w:wordWrap/>
        <w:overflowPunct/>
        <w:topLinePunct w:val="0"/>
        <w:autoSpaceDE/>
        <w:autoSpaceDN/>
        <w:bidi w:val="0"/>
        <w:adjustRightInd/>
        <w:snapToGrid/>
        <w:spacing w:line="312" w:lineRule="auto"/>
        <w:ind w:firstLine="400" w:firstLineChars="200"/>
        <w:jc w:val="both"/>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电    话：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 xml:space="preserve">电    话： </w:t>
      </w:r>
    </w:p>
    <w:p w14:paraId="5A43DAB3">
      <w:pPr>
        <w:keepNext w:val="0"/>
        <w:keepLines w:val="0"/>
        <w:pageBreakBefore w:val="0"/>
        <w:widowControl/>
        <w:kinsoku/>
        <w:wordWrap/>
        <w:overflowPunct/>
        <w:topLinePunct w:val="0"/>
        <w:autoSpaceDE/>
        <w:autoSpaceDN/>
        <w:bidi w:val="0"/>
        <w:adjustRightInd/>
        <w:snapToGrid/>
        <w:spacing w:line="312" w:lineRule="auto"/>
        <w:ind w:firstLine="400" w:firstLineChars="200"/>
        <w:jc w:val="both"/>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签约地址：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 xml:space="preserve">签约地址：  </w:t>
      </w:r>
    </w:p>
    <w:p w14:paraId="089CD368">
      <w:pPr>
        <w:pStyle w:val="5"/>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签约时间：   年   月   日   </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签约时间：   年   月   日</w:t>
      </w:r>
    </w:p>
    <w:p w14:paraId="352876A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iNWI5YzJlZDA1MGM1ZGVjZjFhNDg3NTllYzMxMzMifQ=="/>
  </w:docVars>
  <w:rsids>
    <w:rsidRoot w:val="57B8380D"/>
    <w:rsid w:val="57B83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2024-10-17T07:26:00Z</dcterms:created>
  <dc:creator>向风而行</dc:creator>
  <cp:lastModifiedBy>向风而行</cp:lastModifiedBy>
  <dcterms:modified xsi:type="dcterms:W3CDTF">2024-10-17T07:26:58Z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23BBEA17B4CF452D87CE6811E64FE0FC_11</vt:lpwstr>
  </property>
</Properties>
</file>