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版本号：241202001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秦家、康家村回迁分房服务项目</w:t>
      </w:r>
    </w:p>
    <w:p>
      <w:pPr>
        <w:pStyle w:val="null3"/>
        <w:jc w:val="center"/>
        <w:outlineLvl w:val="2"/>
      </w:pPr>
      <w:r>
        <w:rPr>
          <w:sz w:val="28"/>
          <w:b/>
        </w:rPr>
        <w:t>采购项目编号：</w:t>
      </w:r>
      <w:r>
        <w:rPr>
          <w:sz w:val="28"/>
          <w:b/>
        </w:rPr>
        <w:t>ZDCG2024112801.GWZC2024-225</w:t>
      </w:r>
      <w:r>
        <w:br/>
      </w:r>
      <w:r>
        <w:br/>
      </w:r>
      <w:r>
        <w:br/>
      </w:r>
    </w:p>
    <w:p>
      <w:pPr>
        <w:pStyle w:val="null3"/>
        <w:jc w:val="center"/>
        <w:outlineLvl w:val="2"/>
      </w:pPr>
      <w:r>
        <w:rPr>
          <w:sz w:val="28"/>
          <w:b/>
        </w:rPr>
        <w:t>西安浐灞国际港世园会展产业园</w:t>
      </w:r>
    </w:p>
    <w:p>
      <w:pPr>
        <w:pStyle w:val="null3"/>
        <w:jc w:val="center"/>
        <w:outlineLvl w:val="2"/>
      </w:pPr>
      <w:r>
        <w:rPr>
          <w:sz w:val="28"/>
          <w:b/>
        </w:rPr>
        <w:t>正大鹏安建设项目管理有限公司</w:t>
      </w:r>
      <w:r>
        <w:rPr>
          <w:sz w:val="28"/>
          <w:b/>
        </w:rPr>
        <w:t>共同编制</w:t>
      </w:r>
    </w:p>
    <w:p>
      <w:pPr>
        <w:pStyle w:val="null3"/>
        <w:jc w:val="center"/>
        <w:outlineLvl w:val="2"/>
      </w:pPr>
      <w:r>
        <w:rPr>
          <w:sz w:val="28"/>
          <w:b/>
        </w:rPr>
        <w:t>2024年12月02日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正大鹏安建设项目管理有限公司</w:t>
      </w:r>
      <w:r>
        <w:rPr/>
        <w:t>（以下简称“代理机构”）受</w:t>
      </w:r>
      <w:r>
        <w:rPr/>
        <w:t>西安浐灞国际港世园会展产业园</w:t>
      </w:r>
      <w:r>
        <w:rPr/>
        <w:t>委托，拟对</w:t>
      </w:r>
      <w:r>
        <w:rPr/>
        <w:t>秦家、康家村回迁分房服务项目</w:t>
      </w:r>
      <w:r>
        <w:rPr/>
        <w:t>采用竞争性磋商采购方式进行采购，兹邀请供应商参加本项目的竞争性磋商。</w:t>
      </w:r>
    </w:p>
    <w:p>
      <w:pPr>
        <w:pStyle w:val="null3"/>
        <w:outlineLvl w:val="2"/>
      </w:pPr>
      <w:r>
        <w:rPr>
          <w:sz w:val="28"/>
          <w:b/>
        </w:rPr>
        <w:t>一、项目编号：</w:t>
      </w:r>
      <w:r>
        <w:rPr>
          <w:sz w:val="28"/>
          <w:b/>
        </w:rPr>
        <w:t>ZDCG2024112801.GWZC2024-225</w:t>
      </w:r>
    </w:p>
    <w:p>
      <w:pPr>
        <w:pStyle w:val="null3"/>
        <w:outlineLvl w:val="2"/>
      </w:pPr>
      <w:r>
        <w:rPr>
          <w:sz w:val="28"/>
          <w:b/>
        </w:rPr>
        <w:t>二、项目名称：</w:t>
      </w:r>
      <w:r>
        <w:rPr>
          <w:sz w:val="28"/>
          <w:b/>
        </w:rPr>
        <w:t>秦家、康家村回迁分房服务项目</w:t>
      </w:r>
    </w:p>
    <w:p>
      <w:pPr>
        <w:pStyle w:val="null3"/>
        <w:outlineLvl w:val="2"/>
      </w:pPr>
      <w:r>
        <w:rPr>
          <w:sz w:val="28"/>
          <w:b/>
        </w:rPr>
        <w:t>三、磋商项目简介</w:t>
      </w:r>
    </w:p>
    <w:p>
      <w:pPr>
        <w:pStyle w:val="null3"/>
        <w:ind w:firstLine="480"/>
      </w:pPr>
      <w:r>
        <w:rPr/>
        <w:t>西安浐灞国际港世园会展产业园秦家、康家村回迁分房服务项目详见内容详见第三章。</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采购包1（秦家、康家村回迁分房服务项目）：属于专门面向中小企业采购。</w:t>
      </w:r>
    </w:p>
    <w:p>
      <w:pPr>
        <w:pStyle w:val="null3"/>
        <w:ind w:firstLine="480"/>
      </w:pPr>
      <w:r>
        <w:rPr/>
        <w:t>（三）本项目的特定资格要求：</w:t>
      </w:r>
    </w:p>
    <w:p>
      <w:pPr>
        <w:pStyle w:val="null3"/>
      </w:pPr>
      <w:r>
        <w:rPr/>
        <w:t>采购包1：</w:t>
      </w:r>
    </w:p>
    <w:p>
      <w:pPr>
        <w:pStyle w:val="null3"/>
      </w:pPr>
      <w:r>
        <w:rPr/>
        <w:t>1、有效的主体资格证明：提供合格有效的法人或者其他组织的营业执照等证明文件或自然人的身份证明</w:t>
      </w:r>
    </w:p>
    <w:p>
      <w:pPr>
        <w:pStyle w:val="null3"/>
      </w:pPr>
      <w:r>
        <w:rPr/>
        <w:t>2、财务状况报告：提供供应商2023年度经审计的财务报告，或在投标截止日期前6个月内其基本开户银行出具的资信证明，或财政部门认可的政府采购专业担保机构出具的投标担保函（以上三种形式的资料提供任何一种即可</w:t>
      </w:r>
    </w:p>
    <w:p>
      <w:pPr>
        <w:pStyle w:val="null3"/>
      </w:pPr>
      <w:r>
        <w:rPr/>
        <w:t>3、税收缴纳证明：提供供应商自投标截止日期前6个月以来已缴纳任意时段纳税证明或税务机关开具的完税证明（增值税、营业税、企业所得税至少提供一种）；依法免税的应提供相关文件证明</w:t>
      </w:r>
    </w:p>
    <w:p>
      <w:pPr>
        <w:pStyle w:val="null3"/>
      </w:pPr>
      <w:r>
        <w:rPr/>
        <w:t>4、社会保障资金缴纳证明：提供供应商自投标截止日期前6个月以来已缴存的任意时段的社会保障资金缴存单据或社保机构开具的社会保险参保缴费情况证明；依法不需要缴纳社会保障资金的应提供相关文件证明</w:t>
      </w:r>
    </w:p>
    <w:p>
      <w:pPr>
        <w:pStyle w:val="null3"/>
      </w:pPr>
      <w:r>
        <w:rPr/>
        <w:t>5、无重大违法记录声明：参加本次政府采购活动前3年内，在经营活动中没有重大违法记录的书面声明</w:t>
      </w:r>
    </w:p>
    <w:p>
      <w:pPr>
        <w:pStyle w:val="null3"/>
      </w:pPr>
      <w:r>
        <w:rPr/>
        <w:t>6、专业技术能力证明：具备履行合同所必需的设备和专业技术能力</w:t>
      </w:r>
    </w:p>
    <w:p>
      <w:pPr>
        <w:pStyle w:val="null3"/>
      </w:pPr>
      <w:r>
        <w:rPr/>
        <w:t>7、信用查询：供应商不得为列入信用中国(www.creditchina.gov.cn)记录失信被执行人、重大税收违法案件当事人名单、中国政府采购网(www.ccgp.gov.cn)的政府采购严重违法失信行为记录名单。（以磋商当天代理机构核查为准）</w:t>
      </w:r>
    </w:p>
    <w:p>
      <w:pPr>
        <w:pStyle w:val="null3"/>
      </w:pPr>
      <w:r>
        <w:rPr/>
        <w:t>8、本采购包专门面向中小企业采购：本项目专门面向中小企业采购，须符合《政府采购促进中小企业发展管理办法》（财库〔2020〕46号）规定的中小企业参加，符合要求的监狱企业或残疾人福利单位视同小微企业，并提供声明函。</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西安浐灞国际港世园会展产业园</w:t>
      </w:r>
    </w:p>
    <w:p>
      <w:pPr>
        <w:pStyle w:val="null3"/>
      </w:pPr>
      <w:r>
        <w:rPr/>
        <w:t xml:space="preserve"> 地址： </w:t>
      </w:r>
      <w:r>
        <w:rPr/>
        <w:t>西安浐灞国际港世园会展产业园</w:t>
      </w:r>
    </w:p>
    <w:p>
      <w:pPr>
        <w:pStyle w:val="null3"/>
      </w:pPr>
      <w:r>
        <w:rPr/>
        <w:t xml:space="preserve"> 邮编： </w:t>
      </w:r>
      <w:r>
        <w:rPr/>
        <w:t>/</w:t>
      </w:r>
    </w:p>
    <w:p>
      <w:pPr>
        <w:pStyle w:val="null3"/>
      </w:pPr>
      <w:r>
        <w:rPr/>
        <w:t xml:space="preserve"> 联系人： </w:t>
      </w:r>
      <w:r>
        <w:rPr/>
        <w:t>浐灞国际港世园会展产业园经办人 孙老师</w:t>
      </w:r>
    </w:p>
    <w:p>
      <w:pPr>
        <w:pStyle w:val="null3"/>
      </w:pPr>
      <w:r>
        <w:rPr/>
        <w:t xml:space="preserve"> 联系电话： </w:t>
      </w:r>
      <w:r>
        <w:rPr/>
        <w:t>029-83748676</w:t>
      </w:r>
    </w:p>
    <w:p>
      <w:pPr>
        <w:pStyle w:val="null3"/>
        <w:outlineLvl w:val="3"/>
      </w:pPr>
      <w:r>
        <w:rPr>
          <w:sz w:val="24"/>
          <w:b/>
        </w:rPr>
        <w:t>代理机构：</w:t>
      </w:r>
      <w:r>
        <w:rPr>
          <w:sz w:val="24"/>
          <w:b/>
        </w:rPr>
        <w:t>正大鹏安建设项目管理有限公司</w:t>
      </w:r>
    </w:p>
    <w:p>
      <w:pPr>
        <w:pStyle w:val="null3"/>
      </w:pPr>
      <w:r>
        <w:rPr/>
        <w:t xml:space="preserve"> 地址： </w:t>
      </w:r>
      <w:r>
        <w:rPr/>
        <w:t>陕西省西安市新城区长乐中路38号金花新都汇C座12层01室</w:t>
      </w:r>
    </w:p>
    <w:p>
      <w:pPr>
        <w:pStyle w:val="null3"/>
      </w:pPr>
      <w:r>
        <w:rPr/>
        <w:t xml:space="preserve"> 邮编： </w:t>
      </w:r>
      <w:r>
        <w:rPr/>
        <w:t>/</w:t>
      </w:r>
    </w:p>
    <w:p>
      <w:pPr>
        <w:pStyle w:val="null3"/>
      </w:pPr>
      <w:r>
        <w:rPr/>
        <w:t xml:space="preserve"> 联系人： </w:t>
      </w:r>
      <w:r>
        <w:rPr/>
        <w:t>李工</w:t>
      </w:r>
    </w:p>
    <w:p>
      <w:pPr>
        <w:pStyle w:val="null3"/>
      </w:pPr>
      <w:r>
        <w:rPr/>
        <w:t xml:space="preserve"> 联系电话： </w:t>
      </w:r>
      <w:r>
        <w:rPr/>
        <w:t>18092099688</w:t>
      </w:r>
    </w:p>
    <w:p>
      <w:pPr>
        <w:pStyle w:val="null3"/>
        <w:outlineLvl w:val="3"/>
      </w:pPr>
      <w:r>
        <w:rPr>
          <w:sz w:val="24"/>
          <w:b/>
        </w:rPr>
        <w:t>采购监督机构：</w:t>
      </w:r>
      <w:r>
        <w:rPr>
          <w:sz w:val="24"/>
          <w:b/>
        </w:rPr>
        <w:t>西安浐灞国际港财政金融局</w:t>
      </w:r>
    </w:p>
    <w:p>
      <w:pPr>
        <w:pStyle w:val="null3"/>
        <w:ind w:firstLine="480"/>
      </w:pPr>
      <w:r>
        <w:rPr/>
        <w:t>联系人：</w:t>
      </w:r>
      <w:r>
        <w:rPr/>
        <w:t>侯海平</w:t>
      </w:r>
    </w:p>
    <w:p>
      <w:pPr>
        <w:pStyle w:val="null3"/>
        <w:ind w:firstLine="480"/>
      </w:pPr>
      <w:r>
        <w:rPr/>
        <w:t>联系电话：</w:t>
      </w:r>
      <w:r>
        <w:rPr/>
        <w:t>029-83596064</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采购包1：1,295,000.00元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代理服务费收费标准：按照国家计委颁布的《招标代理服务收费管理暂行办法》（计价格【2002】1980号）及发改办价格【2003】857号）文规定按服务类收取代理服务费。 由中标(成交)单位在领取成交通知书前，一次性向代理机构付清。 代理服务费账户信息 开户名称：正大鹏安建设项目管理有限公司 开户行：陕西秦农农村商业银行股份有限公司新城支行 账 号：2701131601201000028739 行 号：314791001279</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西安浐灞国际港世园会展产业园</w:t>
      </w:r>
      <w:r>
        <w:rPr/>
        <w:t>和</w:t>
      </w:r>
      <w:r>
        <w:rPr/>
        <w:t>正大鹏安建设项目管理有限公司</w:t>
      </w:r>
      <w:r>
        <w:rPr/>
        <w:t>享有。对磋商文件中供应商参加本次政府采购活动应当具备的条件，磋商项目技术、服务、商务及其他要求，评审细则及标准由</w:t>
      </w:r>
      <w:r>
        <w:rPr/>
        <w:t>西安浐灞国际港世园会展产业园</w:t>
      </w:r>
      <w:r>
        <w:rPr/>
        <w:t>负责解释。除上述磋商文件内容，其他内容由</w:t>
      </w:r>
      <w:r>
        <w:rPr/>
        <w:t>正大鹏安建设项目管理有限公司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西安浐灞国际港世园会展产业园</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正大鹏安建设项目管理有限公司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详见合同</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正大鹏安建设项目管理有限公司</w:t>
      </w:r>
      <w:r>
        <w:rPr/>
        <w:t xml:space="preserve"> 负责答复；供应商对除采购需求外的采购文件的询问、质疑由</w:t>
      </w:r>
      <w:r>
        <w:rPr/>
        <w:t>正大鹏安建设项目管理有限公司</w:t>
      </w:r>
      <w:r>
        <w:rPr/>
        <w:t xml:space="preserve"> 负责答复；供应商对采购过程、采购结果的询问、质疑由 </w:t>
      </w:r>
      <w:r>
        <w:rPr/>
        <w:t>正大鹏安建设项目管理有限公司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联系人：李工</w:t>
      </w:r>
    </w:p>
    <w:p>
      <w:pPr>
        <w:pStyle w:val="null3"/>
      </w:pPr>
      <w:r>
        <w:rPr/>
        <w:t>联系电话：18092530165</w:t>
      </w:r>
    </w:p>
    <w:p>
      <w:pPr>
        <w:pStyle w:val="null3"/>
      </w:pPr>
      <w:r>
        <w:rPr/>
        <w:t>地址：陕西省西安市新城区长乐中路38号金花新都汇A座12层1201室</w:t>
      </w:r>
    </w:p>
    <w:p>
      <w:pPr>
        <w:pStyle w:val="null3"/>
      </w:pPr>
      <w:r>
        <w:rPr/>
        <w:t>邮编：/</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秦家、康家村回迁约370户，项目预算为129.50万元，综合单价限价3500.00元/户。目前，安置地块内的住宅楼、公共设施、商业配套用房主楼均已施工完成，室外管网、道路、铺装广场、室外绿化均已完成，正在推进水、电、气、暖接驳等收尾工程。为落实管委会“保回迁”工作目标任务要求，保证回迁分房工作顺利完成，需进行本次项目采购。</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1,295,000.00</w:t>
      </w:r>
    </w:p>
    <w:p>
      <w:pPr>
        <w:pStyle w:val="null3"/>
      </w:pPr>
      <w:r>
        <w:rPr/>
        <w:t>采购包最高限价（元）: 1,295,000.00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西安浐灞国际港世园会展产业园秦家、康家村回迁分房服务项目</w:t>
            </w:r>
          </w:p>
        </w:tc>
        <w:tc>
          <w:tcPr>
            <w:tcW w:type="dxa" w:w="831"/>
          </w:tcPr>
          <w:p>
            <w:pPr>
              <w:pStyle w:val="null3"/>
              <w:jc w:val="right"/>
            </w:pPr>
            <w:r>
              <w:rPr/>
              <w:t>1.00</w:t>
            </w:r>
          </w:p>
        </w:tc>
        <w:tc>
          <w:tcPr>
            <w:tcW w:type="dxa" w:w="831"/>
          </w:tcPr>
          <w:p>
            <w:pPr>
              <w:pStyle w:val="null3"/>
              <w:jc w:val="right"/>
            </w:pPr>
            <w:r>
              <w:rPr/>
              <w:t>1,295,000.00</w:t>
            </w:r>
          </w:p>
        </w:tc>
        <w:tc>
          <w:tcPr>
            <w:tcW w:type="dxa" w:w="831"/>
          </w:tcPr>
          <w:p>
            <w:pPr>
              <w:pStyle w:val="null3"/>
            </w:pPr>
            <w:r>
              <w:rPr/>
              <w:t>项</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标的名称：西安浐灞国际港世园会展产业园秦家、康家村回迁分房服务项目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00"/>
              <w:jc w:val="both"/>
            </w:pPr>
            <w:r>
              <w:rPr>
                <w:rFonts w:ascii="宋体" w:hAnsi="宋体" w:cs="宋体" w:eastAsia="宋体"/>
                <w:sz w:val="20"/>
              </w:rPr>
              <w:t>一、项目概况</w:t>
            </w:r>
          </w:p>
          <w:p>
            <w:pPr>
              <w:pStyle w:val="null3"/>
              <w:ind w:firstLine="400"/>
              <w:jc w:val="both"/>
            </w:pPr>
            <w:r>
              <w:rPr>
                <w:rFonts w:ascii="宋体" w:hAnsi="宋体" w:cs="宋体" w:eastAsia="宋体"/>
                <w:sz w:val="20"/>
              </w:rPr>
              <w:t>秦家、康家村回迁约</w:t>
            </w:r>
            <w:r>
              <w:rPr>
                <w:rFonts w:ascii="宋体" w:hAnsi="宋体" w:cs="宋体" w:eastAsia="宋体"/>
                <w:sz w:val="20"/>
              </w:rPr>
              <w:t>370户，</w:t>
            </w:r>
            <w:r>
              <w:rPr>
                <w:rFonts w:ascii="宋体" w:hAnsi="宋体" w:cs="宋体" w:eastAsia="宋体"/>
                <w:sz w:val="20"/>
              </w:rPr>
              <w:t>项目预算为</w:t>
            </w:r>
            <w:r>
              <w:rPr>
                <w:rFonts w:ascii="宋体" w:hAnsi="宋体" w:cs="宋体" w:eastAsia="宋体"/>
                <w:sz w:val="20"/>
              </w:rPr>
              <w:t>129.50万元，综合单价限价3500.00元/户。</w:t>
            </w:r>
            <w:r>
              <w:rPr>
                <w:rFonts w:ascii="宋体" w:hAnsi="宋体" w:cs="宋体" w:eastAsia="宋体"/>
                <w:sz w:val="20"/>
              </w:rPr>
              <w:t>目前，安置地块内的住宅楼、公共设施、商业配套用房主楼均已施工完成，室外管网、道路、铺装广场、室外绿化均已完成，正在推进水、电、气、暖接驳等收尾工程。为落实管委会</w:t>
            </w:r>
            <w:r>
              <w:rPr>
                <w:rFonts w:ascii="宋体" w:hAnsi="宋体" w:cs="宋体" w:eastAsia="宋体"/>
                <w:sz w:val="20"/>
              </w:rPr>
              <w:t>“保回迁”工作目标任务要求，保证回迁分房工作顺利完成，需进行本次项目采购。</w:t>
            </w:r>
          </w:p>
          <w:p>
            <w:pPr>
              <w:pStyle w:val="null3"/>
              <w:ind w:firstLine="400"/>
              <w:jc w:val="both"/>
            </w:pPr>
            <w:r>
              <w:rPr>
                <w:rFonts w:ascii="宋体" w:hAnsi="宋体" w:cs="宋体" w:eastAsia="宋体"/>
                <w:sz w:val="20"/>
              </w:rPr>
              <w:t>二、服务内容</w:t>
            </w:r>
          </w:p>
          <w:p>
            <w:pPr>
              <w:pStyle w:val="null3"/>
              <w:ind w:firstLine="400"/>
              <w:jc w:val="both"/>
            </w:pPr>
            <w:r>
              <w:rPr>
                <w:rFonts w:ascii="宋体" w:hAnsi="宋体" w:cs="宋体" w:eastAsia="宋体"/>
                <w:sz w:val="20"/>
              </w:rPr>
              <w:t>1.租赁回迁选房、分房场地，现场办公家具、办公用品内外规划布置。</w:t>
            </w:r>
          </w:p>
          <w:p>
            <w:pPr>
              <w:pStyle w:val="null3"/>
              <w:ind w:firstLine="400"/>
              <w:jc w:val="both"/>
            </w:pPr>
            <w:r>
              <w:rPr>
                <w:rFonts w:ascii="宋体" w:hAnsi="宋体" w:cs="宋体" w:eastAsia="宋体"/>
                <w:sz w:val="20"/>
              </w:rPr>
              <w:t>2.回迁宣传资料策划、制作、采购;宣传用品现场布置。</w:t>
            </w:r>
          </w:p>
          <w:p>
            <w:pPr>
              <w:pStyle w:val="null3"/>
              <w:ind w:firstLine="400"/>
              <w:jc w:val="both"/>
            </w:pPr>
            <w:r>
              <w:rPr>
                <w:rFonts w:ascii="宋体" w:hAnsi="宋体" w:cs="宋体" w:eastAsia="宋体"/>
                <w:sz w:val="20"/>
              </w:rPr>
              <w:t>3.选房、分房人员招聘培训，聘请公证、安保单位。</w:t>
            </w:r>
          </w:p>
          <w:p>
            <w:pPr>
              <w:pStyle w:val="null3"/>
              <w:ind w:firstLine="400"/>
              <w:jc w:val="both"/>
            </w:pPr>
            <w:r>
              <w:rPr>
                <w:rFonts w:ascii="宋体" w:hAnsi="宋体" w:cs="宋体" w:eastAsia="宋体"/>
                <w:sz w:val="20"/>
              </w:rPr>
              <w:t>4.制定选房、分房方案并组织具体实施，包括人员组织、档案整理、安保维稳、现场公证、影像记录、现场公示、回迁手续办理、发放房屋证明、领取房屋钥匙、现场工作人员餐饮。</w:t>
            </w:r>
          </w:p>
          <w:p>
            <w:pPr>
              <w:pStyle w:val="null3"/>
              <w:ind w:firstLine="400"/>
              <w:jc w:val="both"/>
            </w:pPr>
            <w:r>
              <w:rPr>
                <w:rFonts w:ascii="宋体" w:hAnsi="宋体" w:cs="宋体" w:eastAsia="宋体"/>
                <w:sz w:val="20"/>
              </w:rPr>
              <w:t>三、技术要求</w:t>
            </w:r>
          </w:p>
          <w:p>
            <w:pPr>
              <w:pStyle w:val="null3"/>
              <w:ind w:firstLine="400"/>
              <w:jc w:val="both"/>
            </w:pPr>
            <w:r>
              <w:rPr>
                <w:rFonts w:ascii="宋体" w:hAnsi="宋体" w:cs="宋体" w:eastAsia="宋体"/>
                <w:sz w:val="20"/>
              </w:rPr>
              <w:t>无。</w:t>
            </w:r>
          </w:p>
          <w:p>
            <w:pPr>
              <w:pStyle w:val="null3"/>
              <w:ind w:firstLine="400"/>
              <w:jc w:val="both"/>
            </w:pPr>
            <w:r>
              <w:rPr>
                <w:rFonts w:ascii="宋体" w:hAnsi="宋体" w:cs="宋体" w:eastAsia="宋体"/>
                <w:sz w:val="20"/>
              </w:rPr>
              <w:t>四、服务要求</w:t>
            </w:r>
          </w:p>
          <w:p>
            <w:pPr>
              <w:pStyle w:val="null3"/>
              <w:ind w:firstLine="400"/>
              <w:jc w:val="both"/>
            </w:pPr>
            <w:r>
              <w:rPr>
                <w:rFonts w:ascii="宋体" w:hAnsi="宋体" w:cs="宋体" w:eastAsia="宋体"/>
                <w:sz w:val="20"/>
              </w:rPr>
              <w:t>1.成立项目组，定时向采购单位汇报工作情况及进展。</w:t>
            </w:r>
          </w:p>
          <w:p>
            <w:pPr>
              <w:pStyle w:val="null3"/>
              <w:ind w:firstLine="400"/>
              <w:jc w:val="both"/>
            </w:pPr>
            <w:r>
              <w:rPr>
                <w:rFonts w:ascii="宋体" w:hAnsi="宋体" w:cs="宋体" w:eastAsia="宋体"/>
                <w:sz w:val="20"/>
              </w:rPr>
              <w:t>2.严格按照采购方要求，实施回迁分房服务工作。</w:t>
            </w:r>
          </w:p>
          <w:p>
            <w:pPr>
              <w:pStyle w:val="null3"/>
              <w:ind w:firstLine="400"/>
              <w:jc w:val="both"/>
            </w:pPr>
            <w:r>
              <w:rPr>
                <w:rFonts w:ascii="宋体" w:hAnsi="宋体" w:cs="宋体" w:eastAsia="宋体"/>
                <w:sz w:val="20"/>
              </w:rPr>
              <w:t>3.选房工作应遵循国家相关政策、法律法规，不得发生违章、违规事件，不能因行为不当引起村民的纠纷投诉。最终结算金额以实际发生户数为准</w:t>
            </w:r>
            <w:r>
              <w:rPr>
                <w:rFonts w:ascii="宋体" w:hAnsi="宋体" w:cs="宋体" w:eastAsia="宋体"/>
                <w:sz w:val="20"/>
              </w:rPr>
              <w:t>。</w:t>
            </w:r>
          </w:p>
          <w:p>
            <w:pPr>
              <w:pStyle w:val="null3"/>
              <w:ind w:firstLine="400"/>
              <w:jc w:val="both"/>
            </w:pPr>
            <w:r>
              <w:rPr>
                <w:rFonts w:ascii="宋体" w:hAnsi="宋体" w:cs="宋体" w:eastAsia="宋体"/>
                <w:sz w:val="20"/>
              </w:rPr>
              <w:t>五、商务要求</w:t>
            </w:r>
          </w:p>
          <w:p>
            <w:pPr>
              <w:pStyle w:val="null3"/>
              <w:ind w:firstLine="400"/>
              <w:jc w:val="both"/>
            </w:pPr>
            <w:r>
              <w:rPr>
                <w:rFonts w:ascii="宋体" w:hAnsi="宋体" w:cs="宋体" w:eastAsia="宋体"/>
                <w:sz w:val="20"/>
              </w:rPr>
              <w:t>1.服务期限:自合同签订之日6个月内完成回迁</w:t>
            </w:r>
            <w:r>
              <w:rPr>
                <w:rFonts w:ascii="宋体" w:hAnsi="宋体" w:cs="宋体" w:eastAsia="宋体"/>
                <w:sz w:val="20"/>
              </w:rPr>
              <w:t>（</w:t>
            </w:r>
            <w:r>
              <w:rPr>
                <w:rFonts w:ascii="宋体" w:hAnsi="宋体" w:cs="宋体" w:eastAsia="宋体"/>
                <w:sz w:val="20"/>
              </w:rPr>
              <w:t>回迁</w:t>
            </w:r>
            <w:r>
              <w:rPr>
                <w:rFonts w:ascii="宋体" w:hAnsi="宋体" w:cs="宋体" w:eastAsia="宋体"/>
                <w:sz w:val="20"/>
              </w:rPr>
              <w:t>过程</w:t>
            </w:r>
            <w:r>
              <w:rPr>
                <w:rFonts w:ascii="宋体" w:hAnsi="宋体" w:cs="宋体" w:eastAsia="宋体"/>
                <w:sz w:val="20"/>
              </w:rPr>
              <w:t>包含</w:t>
            </w:r>
            <w:r>
              <w:rPr>
                <w:rFonts w:ascii="宋体" w:hAnsi="宋体" w:cs="宋体" w:eastAsia="宋体"/>
                <w:sz w:val="20"/>
              </w:rPr>
              <w:t>1次选房、1次分房</w:t>
            </w:r>
            <w:r>
              <w:rPr>
                <w:rFonts w:ascii="宋体" w:hAnsi="宋体" w:cs="宋体" w:eastAsia="宋体"/>
                <w:sz w:val="20"/>
              </w:rPr>
              <w:t>）</w:t>
            </w:r>
            <w:r>
              <w:rPr>
                <w:rFonts w:ascii="宋体" w:hAnsi="宋体" w:cs="宋体" w:eastAsia="宋体"/>
                <w:sz w:val="20"/>
              </w:rPr>
              <w:t>。</w:t>
            </w:r>
          </w:p>
          <w:p>
            <w:pPr>
              <w:pStyle w:val="null3"/>
              <w:ind w:firstLine="400"/>
              <w:jc w:val="both"/>
            </w:pPr>
            <w:r>
              <w:rPr>
                <w:rFonts w:ascii="宋体" w:hAnsi="宋体" w:cs="宋体" w:eastAsia="宋体"/>
                <w:sz w:val="20"/>
              </w:rPr>
              <w:t>2.款项结算:合同签订后支付合同价款的40%预付款;回迁、分房完成后，采购人确认遗留问题处理完成，无信访维稳风险后，根据实际回迁户数与中标单位据实结算，支付剩余款项。</w:t>
            </w:r>
          </w:p>
          <w:p>
            <w:pPr>
              <w:pStyle w:val="null3"/>
              <w:ind w:firstLine="400"/>
              <w:jc w:val="both"/>
            </w:pPr>
            <w:r>
              <w:rPr>
                <w:rFonts w:ascii="宋体" w:hAnsi="宋体" w:cs="宋体" w:eastAsia="宋体"/>
                <w:sz w:val="20"/>
              </w:rPr>
              <w:t>六、其他</w:t>
            </w:r>
          </w:p>
          <w:p>
            <w:pPr>
              <w:pStyle w:val="null3"/>
              <w:jc w:val="both"/>
            </w:pPr>
            <w:r>
              <w:rPr>
                <w:rFonts w:ascii="宋体" w:hAnsi="宋体" w:cs="宋体" w:eastAsia="宋体"/>
                <w:sz w:val="20"/>
              </w:rPr>
              <w:t>无</w:t>
            </w:r>
          </w:p>
        </w:tc>
      </w:tr>
    </w:tbl>
    <w:p>
      <w:pPr>
        <w:pStyle w:val="null3"/>
        <w:outlineLvl w:val="2"/>
      </w:pPr>
      <w:r>
        <w:rPr>
          <w:sz w:val="28"/>
          <w:b/>
        </w:rPr>
        <w:t>3.2.3人员配置要求</w:t>
      </w:r>
    </w:p>
    <w:p>
      <w:pPr>
        <w:pStyle w:val="null3"/>
      </w:pPr>
      <w:r>
        <w:rPr/>
        <w:t>采购包1：</w:t>
      </w:r>
    </w:p>
    <w:p>
      <w:pPr>
        <w:pStyle w:val="null3"/>
      </w:pPr>
      <w:r>
        <w:rPr/>
        <w:t>供应商根据服务要求自行响应</w:t>
      </w:r>
    </w:p>
    <w:p>
      <w:pPr>
        <w:pStyle w:val="null3"/>
        <w:outlineLvl w:val="2"/>
      </w:pPr>
      <w:r>
        <w:rPr>
          <w:sz w:val="28"/>
          <w:b/>
        </w:rPr>
        <w:t>3.2.4设施设备要求</w:t>
      </w:r>
    </w:p>
    <w:p>
      <w:pPr>
        <w:pStyle w:val="null3"/>
      </w:pPr>
      <w:r>
        <w:rPr/>
        <w:t>采购包1：</w:t>
      </w:r>
    </w:p>
    <w:p>
      <w:pPr>
        <w:pStyle w:val="null3"/>
      </w:pPr>
      <w:r>
        <w:rPr/>
        <w:t>供应商根据服务要求自行响应</w:t>
      </w:r>
    </w:p>
    <w:p>
      <w:pPr>
        <w:pStyle w:val="null3"/>
        <w:outlineLvl w:val="2"/>
      </w:pPr>
      <w:r>
        <w:rPr>
          <w:sz w:val="28"/>
          <w:b/>
        </w:rPr>
        <w:t>3.2.5其他要求</w:t>
      </w:r>
    </w:p>
    <w:p>
      <w:pPr>
        <w:pStyle w:val="null3"/>
      </w:pPr>
      <w:r>
        <w:rPr/>
        <w:t>采购包1：</w:t>
      </w:r>
    </w:p>
    <w:p>
      <w:pPr>
        <w:pStyle w:val="null3"/>
      </w:pPr>
      <w:r>
        <w:rPr/>
        <w:t>详见服务要求</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自合同签订之日6个月内完成回迁（回迁过程包含1次选房、1次分房）。</w:t>
      </w:r>
    </w:p>
    <w:p>
      <w:pPr>
        <w:pStyle w:val="null3"/>
        <w:outlineLvl w:val="3"/>
      </w:pPr>
      <w:r>
        <w:rPr>
          <w:sz w:val="24"/>
          <w:b/>
        </w:rPr>
        <w:t>3.3.2服务地点</w:t>
      </w:r>
    </w:p>
    <w:p>
      <w:pPr>
        <w:pStyle w:val="null3"/>
      </w:pPr>
      <w:r>
        <w:rPr/>
        <w:t>采购包1：</w:t>
      </w:r>
    </w:p>
    <w:p>
      <w:pPr>
        <w:pStyle w:val="null3"/>
      </w:pPr>
      <w:r>
        <w:rPr/>
        <w:t>西安浐灞国际港秦家、康家村</w:t>
      </w:r>
    </w:p>
    <w:p>
      <w:pPr>
        <w:pStyle w:val="null3"/>
        <w:outlineLvl w:val="3"/>
      </w:pPr>
      <w:r>
        <w:rPr>
          <w:sz w:val="24"/>
          <w:b/>
        </w:rPr>
        <w:t>3.3.3考核（验收）标准和方法</w:t>
      </w:r>
    </w:p>
    <w:p>
      <w:pPr>
        <w:pStyle w:val="null3"/>
      </w:pPr>
      <w:r>
        <w:rPr/>
        <w:t>采购包1：</w:t>
      </w:r>
    </w:p>
    <w:p>
      <w:pPr>
        <w:pStyle w:val="null3"/>
      </w:pPr>
      <w:r>
        <w:rPr/>
        <w:t>详见合同</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合同签订后</w:t>
      </w:r>
      <w:r>
        <w:rPr/>
        <w:t xml:space="preserve"> ，达到付款条件起 </w:t>
      </w:r>
      <w:r>
        <w:rPr/>
        <w:t>10</w:t>
      </w:r>
      <w:r>
        <w:rPr/>
        <w:t xml:space="preserve"> 日内，支付合同总金额的 </w:t>
      </w:r>
      <w:r>
        <w:rPr/>
        <w:t>40.00</w:t>
      </w:r>
      <w:r>
        <w:rPr/>
        <w:t>%。</w:t>
      </w:r>
    </w:p>
    <w:p>
      <w:pPr>
        <w:pStyle w:val="null3"/>
      </w:pPr>
      <w:r>
        <w:rPr/>
        <w:t>采购包1：</w:t>
      </w:r>
      <w:r>
        <w:rPr/>
        <w:t xml:space="preserve"> 付款条件说明： </w:t>
      </w:r>
      <w:r>
        <w:rPr/>
        <w:t>回迁、分房完成后，采购人确认遗留问题处理完成，无信访维稳风险后，根据实际回迁户数与中标单位据实结算</w:t>
      </w:r>
      <w:r>
        <w:rPr/>
        <w:t xml:space="preserve"> ，达到付款条件起 </w:t>
      </w:r>
      <w:r>
        <w:rPr/>
        <w:t>10</w:t>
      </w:r>
      <w:r>
        <w:rPr/>
        <w:t xml:space="preserve"> 日内，支付合同总金额的 </w:t>
      </w:r>
      <w:r>
        <w:rPr/>
        <w:t>60.00</w:t>
      </w:r>
      <w:r>
        <w:rPr/>
        <w:t>%。</w:t>
      </w:r>
    </w:p>
    <w:p>
      <w:pPr>
        <w:pStyle w:val="null3"/>
        <w:outlineLvl w:val="3"/>
      </w:pPr>
      <w:r>
        <w:rPr>
          <w:sz w:val="24"/>
          <w:b/>
        </w:rPr>
        <w:t>3.3.6违约责任及解决争议的方法</w:t>
      </w:r>
    </w:p>
    <w:p>
      <w:pPr>
        <w:pStyle w:val="null3"/>
      </w:pPr>
      <w:r>
        <w:rPr/>
        <w:t>采购包1：</w:t>
      </w:r>
    </w:p>
    <w:p>
      <w:pPr>
        <w:pStyle w:val="null3"/>
      </w:pPr>
      <w:r>
        <w:rPr/>
        <w:t>详见合同</w:t>
      </w:r>
    </w:p>
    <w:p>
      <w:pPr>
        <w:pStyle w:val="null3"/>
        <w:outlineLvl w:val="2"/>
      </w:pPr>
      <w:r>
        <w:rPr>
          <w:sz w:val="28"/>
          <w:b/>
        </w:rPr>
        <w:t>3.4其他要求</w:t>
      </w:r>
    </w:p>
    <w:p>
      <w:pPr>
        <w:pStyle w:val="null3"/>
      </w:pPr>
      <w:r>
        <w:rPr/>
        <w:t>服务标准：符合国家及行业有关现行规范、标准的要求</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供应商应提交的相关资格证明材料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本项目专门面向中小企业采购，须符合《政府采购促进中小企业发展管理办法》（财库〔2020〕46号）规定的中小企业参加，符合要求的监狱企业或残疾人福利单位视同小微企业，并提供声明函。</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提供合格有效的法人或者其他组织的营业执照等证明文件或自然人的身份证明</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提供供应商2023年度经审计的财务报告，或在投标截止日期前6个月内其基本开户银行出具的资信证明，或财政部门认可的政府采购专业担保机构出具的投标担保函（以上三种形式的资料提供任何一种即可</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提供供应商自投标截止日期前6个月以来已缴纳任意时段纳税证明或税务机关开具的完税证明（增值税、营业税、企业所得税至少提供一种）；依法免税的应提供相关文件证明</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提供供应商自投标截止日期前6个月以来已缴存的任意时段的社会保障资金缴存单据或社保机构开具的社会保险参保缴费情况证明；依法不需要缴纳社会保障资金的应提供相关文件证明</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无重大违法记录声明</w:t>
            </w:r>
          </w:p>
        </w:tc>
        <w:tc>
          <w:tcPr>
            <w:tcW w:type="dxa" w:w="3322"/>
          </w:tcPr>
          <w:p>
            <w:pPr>
              <w:pStyle w:val="null3"/>
            </w:pPr>
            <w:r>
              <w:rPr/>
              <w:t>参加本次政府采购活动前3年内，在经营活动中没有重大违法记录的书面声明</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专业技术能力证明</w:t>
            </w:r>
          </w:p>
        </w:tc>
        <w:tc>
          <w:tcPr>
            <w:tcW w:type="dxa" w:w="3322"/>
          </w:tcPr>
          <w:p>
            <w:pPr>
              <w:pStyle w:val="null3"/>
            </w:pPr>
            <w:r>
              <w:rPr/>
              <w:t>具备履行合同所必需的设备和专业技术能力</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信用查询</w:t>
            </w:r>
          </w:p>
        </w:tc>
        <w:tc>
          <w:tcPr>
            <w:tcW w:type="dxa" w:w="3322"/>
          </w:tcPr>
          <w:p>
            <w:pPr>
              <w:pStyle w:val="null3"/>
            </w:pPr>
            <w:r>
              <w:rPr/>
              <w:t>供应商不得为列入信用中国(www.creditchina.gov.cn)记录失信被执行人、重大税收违法案件当事人名单、中国政府采购网(www.ccgp.gov.cn)的政府采购严重违法失信行为记录名单。（以磋商当天代理机构核查为准）</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本采购包专门面向中小企业采购</w:t>
            </w:r>
          </w:p>
        </w:tc>
        <w:tc>
          <w:tcPr>
            <w:tcW w:type="dxa" w:w="3322"/>
          </w:tcPr>
          <w:p>
            <w:pPr>
              <w:pStyle w:val="null3"/>
            </w:pPr>
            <w:r>
              <w:rPr/>
              <w:t>本项目专门面向中小企业采购，须符合《政府采购促进中小企业发展管理办法》（财库〔2020〕46号）规定的中小企业参加，符合要求的监狱企业或残疾人福利单位视同小微企业，并提供声明函。</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分项报价表 标的清单 报价表</w:t>
            </w:r>
          </w:p>
        </w:tc>
      </w:tr>
      <w:tr>
        <w:tc>
          <w:tcPr>
            <w:tcW w:type="dxa" w:w="831"/>
          </w:tcPr>
          <w:p>
            <w:pPr>
              <w:pStyle w:val="null3"/>
            </w:pPr>
            <w:r>
              <w:rPr/>
              <w:t>2</w:t>
            </w:r>
          </w:p>
        </w:tc>
        <w:tc>
          <w:tcPr>
            <w:tcW w:type="dxa" w:w="2492"/>
          </w:tcPr>
          <w:p>
            <w:pPr>
              <w:pStyle w:val="null3"/>
            </w:pPr>
            <w:r>
              <w:rPr/>
              <w:t>与项目的一致性</w:t>
            </w:r>
          </w:p>
        </w:tc>
        <w:tc>
          <w:tcPr>
            <w:tcW w:type="dxa" w:w="3322"/>
          </w:tcPr>
          <w:p>
            <w:pPr>
              <w:pStyle w:val="null3"/>
            </w:pPr>
            <w:r>
              <w:rPr/>
              <w:t>磋商内容未出现漏项或数量与要求符，未出现重大负偏差</w:t>
            </w:r>
          </w:p>
        </w:tc>
        <w:tc>
          <w:tcPr>
            <w:tcW w:type="dxa" w:w="1661"/>
          </w:tcPr>
          <w:p>
            <w:pPr>
              <w:pStyle w:val="null3"/>
            </w:pPr>
            <w:r>
              <w:rPr/>
              <w:t>响应文件封面 服务内容及服务邀请应答表 商务应答表 响应函</w:t>
            </w:r>
          </w:p>
        </w:tc>
      </w:tr>
      <w:tr>
        <w:tc>
          <w:tcPr>
            <w:tcW w:type="dxa" w:w="831"/>
          </w:tcPr>
          <w:p>
            <w:pPr>
              <w:pStyle w:val="null3"/>
            </w:pPr>
            <w:r>
              <w:rPr/>
              <w:t>3</w:t>
            </w:r>
          </w:p>
        </w:tc>
        <w:tc>
          <w:tcPr>
            <w:tcW w:type="dxa" w:w="2492"/>
          </w:tcPr>
          <w:p>
            <w:pPr>
              <w:pStyle w:val="null3"/>
            </w:pPr>
            <w:r>
              <w:rPr/>
              <w:t>签署</w:t>
            </w:r>
          </w:p>
        </w:tc>
        <w:tc>
          <w:tcPr>
            <w:tcW w:type="dxa" w:w="3322"/>
          </w:tcPr>
          <w:p>
            <w:pPr>
              <w:pStyle w:val="null3"/>
            </w:pPr>
            <w:r>
              <w:rPr/>
              <w:t>磋商响应文件的签署、加盖公章有效</w:t>
            </w:r>
          </w:p>
        </w:tc>
        <w:tc>
          <w:tcPr>
            <w:tcW w:type="dxa" w:w="1661"/>
          </w:tcPr>
          <w:p>
            <w:pPr>
              <w:pStyle w:val="null3"/>
            </w:pPr>
            <w:r>
              <w:rPr/>
              <w:t>服务内容及服务邀请应答表 分项报价表 中小企业声明函 商务应答表 供应商应提交的相关资格证明材料 报价表 响应文件封面 资格证明文件 残疾人福利性单位声明函 服务方案 标的清单 响应函 监狱企业的证明文件</w:t>
            </w:r>
          </w:p>
        </w:tc>
      </w:tr>
      <w:tr>
        <w:tc>
          <w:tcPr>
            <w:tcW w:type="dxa" w:w="831"/>
          </w:tcPr>
          <w:p>
            <w:pPr>
              <w:pStyle w:val="null3"/>
            </w:pPr>
            <w:r>
              <w:rPr/>
              <w:t>4</w:t>
            </w:r>
          </w:p>
        </w:tc>
        <w:tc>
          <w:tcPr>
            <w:tcW w:type="dxa" w:w="2492"/>
          </w:tcPr>
          <w:p>
            <w:pPr>
              <w:pStyle w:val="null3"/>
            </w:pPr>
            <w:r>
              <w:rPr/>
              <w:t>磋商有效期</w:t>
            </w:r>
          </w:p>
        </w:tc>
        <w:tc>
          <w:tcPr>
            <w:tcW w:type="dxa" w:w="3322"/>
          </w:tcPr>
          <w:p>
            <w:pPr>
              <w:pStyle w:val="null3"/>
            </w:pPr>
            <w:r>
              <w:rPr/>
              <w:t>磋商响应文件按有效期达到磋商文件的要求</w:t>
            </w:r>
          </w:p>
        </w:tc>
        <w:tc>
          <w:tcPr>
            <w:tcW w:type="dxa" w:w="1661"/>
          </w:tcPr>
          <w:p>
            <w:pPr>
              <w:pStyle w:val="null3"/>
            </w:pPr>
            <w:r>
              <w:rPr/>
              <w:t>响应文件封面 响应函</w:t>
            </w:r>
          </w:p>
        </w:tc>
      </w:tr>
      <w:tr>
        <w:tc>
          <w:tcPr>
            <w:tcW w:type="dxa" w:w="831"/>
          </w:tcPr>
          <w:p>
            <w:pPr>
              <w:pStyle w:val="null3"/>
            </w:pPr>
            <w:r>
              <w:rPr/>
              <w:t>5</w:t>
            </w:r>
          </w:p>
        </w:tc>
        <w:tc>
          <w:tcPr>
            <w:tcW w:type="dxa" w:w="2492"/>
          </w:tcPr>
          <w:p>
            <w:pPr>
              <w:pStyle w:val="null3"/>
            </w:pPr>
            <w:r>
              <w:rPr/>
              <w:t>其他无效情形</w:t>
            </w:r>
          </w:p>
        </w:tc>
        <w:tc>
          <w:tcPr>
            <w:tcW w:type="dxa" w:w="3322"/>
          </w:tcPr>
          <w:p>
            <w:pPr>
              <w:pStyle w:val="null3"/>
            </w:pPr>
            <w:r>
              <w:rPr/>
              <w:t>完全理解并接受法律法规和磋商文件对供应商合法经营的各类规约和责任义务要求，未出现法律、法规或磋商文件规定的其他无效情形的</w:t>
            </w:r>
          </w:p>
        </w:tc>
        <w:tc>
          <w:tcPr>
            <w:tcW w:type="dxa" w:w="1661"/>
          </w:tcPr>
          <w:p>
            <w:pPr>
              <w:pStyle w:val="null3"/>
            </w:pPr>
            <w:r>
              <w:rPr/>
              <w:t>服务内容及服务邀请应答表 分项报价表 中小企业声明函 商务应答表 供应商应提交的相关资格证明材料 报价表 响应文件封面 资格证明文件 残疾人福利性单位声明函 服务方案 标的清单 响应函 监狱企业的证明文件</w:t>
            </w:r>
          </w:p>
        </w:tc>
      </w:tr>
      <w:tr>
        <w:tc>
          <w:tcPr>
            <w:tcW w:type="dxa" w:w="831"/>
          </w:tcPr>
          <w:p>
            <w:pPr>
              <w:pStyle w:val="null3"/>
            </w:pPr>
            <w:r>
              <w:rPr/>
              <w:t>6</w:t>
            </w:r>
          </w:p>
        </w:tc>
        <w:tc>
          <w:tcPr>
            <w:tcW w:type="dxa" w:w="2492"/>
          </w:tcPr>
          <w:p>
            <w:pPr>
              <w:pStyle w:val="null3"/>
            </w:pPr>
            <w:r>
              <w:rPr/>
              <w:t>磋商报价</w:t>
            </w:r>
          </w:p>
        </w:tc>
        <w:tc>
          <w:tcPr>
            <w:tcW w:type="dxa" w:w="3322"/>
          </w:tcPr>
          <w:p>
            <w:pPr>
              <w:pStyle w:val="null3"/>
            </w:pPr>
            <w:r>
              <w:rPr/>
              <w:t>报价未超过磋商文件中规定的最高限价的</w:t>
            </w:r>
          </w:p>
        </w:tc>
        <w:tc>
          <w:tcPr>
            <w:tcW w:type="dxa" w:w="1661"/>
          </w:tcPr>
          <w:p>
            <w:pPr>
              <w:pStyle w:val="null3"/>
            </w:pPr>
            <w:r>
              <w:rPr/>
              <w:t>响应文件封面 分项报价表 标的清单 报价表 响应函</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项目服务方案</w:t>
            </w:r>
          </w:p>
        </w:tc>
        <w:tc>
          <w:tcPr>
            <w:tcW w:type="dxa" w:w="2492"/>
          </w:tcPr>
          <w:p>
            <w:pPr>
              <w:pStyle w:val="null3"/>
            </w:pPr>
            <w:r>
              <w:rPr/>
              <w:t>提供针对本项目总体实施方案，充分理解项目的服务内容及要求，方案思路清晰，紧扣主题，工作安排合理，涵盖内容全面，表现形式符合项目要求。 实施方案内容全面、阐述条理清晰详尽、合理、可行性强得10～15分； 实施方案内容基本全面、阐述条理基本清晰、基本合理可行得5～10分； 实施方案内容不全面、逻辑混乱、不合理、可行性差得0～5分。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服务内容及服务邀请应答表</w:t>
            </w:r>
          </w:p>
          <w:p>
            <w:pPr>
              <w:pStyle w:val="null3"/>
            </w:pPr>
            <w:r>
              <w:rPr/>
              <w:t>商务应答表</w:t>
            </w:r>
          </w:p>
          <w:p>
            <w:pPr>
              <w:pStyle w:val="null3"/>
            </w:pPr>
            <w:r>
              <w:rPr/>
              <w:t>服务方案</w:t>
            </w:r>
          </w:p>
        </w:tc>
      </w:tr>
      <w:tr>
        <w:tc>
          <w:tcPr>
            <w:tcW w:type="dxa" w:w="831"/>
            <w:vMerge/>
          </w:tcPr>
          <w:p/>
        </w:tc>
        <w:tc>
          <w:tcPr>
            <w:tcW w:type="dxa" w:w="1661"/>
          </w:tcPr>
          <w:p>
            <w:pPr>
              <w:pStyle w:val="null3"/>
            </w:pPr>
            <w:r>
              <w:rPr/>
              <w:t>重点、难点分析</w:t>
            </w:r>
          </w:p>
        </w:tc>
        <w:tc>
          <w:tcPr>
            <w:tcW w:type="dxa" w:w="2492"/>
          </w:tcPr>
          <w:p>
            <w:pPr>
              <w:pStyle w:val="null3"/>
            </w:pPr>
            <w:r>
              <w:rPr/>
              <w:t>根据项目具体情况提出的难点、重点，并进行分析提出解决方法进行评分。 重点、难点突出，能充分体现工作效率及效果，计划合理且科学的得7～10； 重点、难点较明确，能体现工作效率及效果，计划基本合理、科学的得3～7； 重点、难点不明确，不能体现工作效率及效果，计划不合理、科学的得0～3。</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p>
            <w:pPr>
              <w:pStyle w:val="null3"/>
            </w:pPr>
            <w:r>
              <w:rPr/>
              <w:t>服务内容及服务邀请应答表</w:t>
            </w:r>
          </w:p>
        </w:tc>
      </w:tr>
      <w:tr>
        <w:tc>
          <w:tcPr>
            <w:tcW w:type="dxa" w:w="831"/>
            <w:vMerge/>
          </w:tcPr>
          <w:p/>
        </w:tc>
        <w:tc>
          <w:tcPr>
            <w:tcW w:type="dxa" w:w="1661"/>
          </w:tcPr>
          <w:p>
            <w:pPr>
              <w:pStyle w:val="null3"/>
            </w:pPr>
            <w:r>
              <w:rPr/>
              <w:t>实施进度及服务保障措施</w:t>
            </w:r>
          </w:p>
        </w:tc>
        <w:tc>
          <w:tcPr>
            <w:tcW w:type="dxa" w:w="2492"/>
          </w:tcPr>
          <w:p>
            <w:pPr>
              <w:pStyle w:val="null3"/>
            </w:pPr>
            <w:r>
              <w:rPr/>
              <w:t>项目实施进度安排及服务保障措施。 进度安排及保障措施合理、完善、科学得7～10分； 进度安排及保障措施基本合理、完善、科学得3～7分； 进度安排及保障措施不合理、不完善、不科学得0～3分。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服务内容及服务邀请应答表</w:t>
            </w:r>
          </w:p>
          <w:p>
            <w:pPr>
              <w:pStyle w:val="null3"/>
            </w:pPr>
            <w:r>
              <w:rPr/>
              <w:t>商务应答表</w:t>
            </w:r>
          </w:p>
          <w:p>
            <w:pPr>
              <w:pStyle w:val="null3"/>
            </w:pPr>
            <w:r>
              <w:rPr/>
              <w:t>服务方案</w:t>
            </w:r>
          </w:p>
        </w:tc>
      </w:tr>
      <w:tr>
        <w:tc>
          <w:tcPr>
            <w:tcW w:type="dxa" w:w="831"/>
            <w:vMerge/>
          </w:tcPr>
          <w:p/>
        </w:tc>
        <w:tc>
          <w:tcPr>
            <w:tcW w:type="dxa" w:w="1661"/>
          </w:tcPr>
          <w:p>
            <w:pPr>
              <w:pStyle w:val="null3"/>
            </w:pPr>
            <w:r>
              <w:rPr/>
              <w:t>所需场地及活动物料的保障措施</w:t>
            </w:r>
          </w:p>
        </w:tc>
        <w:tc>
          <w:tcPr>
            <w:tcW w:type="dxa" w:w="2492"/>
          </w:tcPr>
          <w:p>
            <w:pPr>
              <w:pStyle w:val="null3"/>
            </w:pPr>
            <w:r>
              <w:rPr/>
              <w:t>提供项目所需场地及活动物料的保障措施。 保障措施内容完善、全面，有详细的服务内容阐述并贴合项目的实际情况，具体实施细节及措施合理性和可行性强的得10～15； 内有详细的内容阐述并贴合项目的实际情况，具体的实施细节及措施有一定的合理性和可行性的得5～10； 内容进行了阐述，部分贴合项目实际情况，具体实施细节及措施为完善的得0～5分；未提供或明显不合理的不得分。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商务应答表</w:t>
            </w:r>
          </w:p>
          <w:p>
            <w:pPr>
              <w:pStyle w:val="null3"/>
            </w:pPr>
            <w:r>
              <w:rPr/>
              <w:t>服务方案</w:t>
            </w:r>
          </w:p>
          <w:p>
            <w:pPr>
              <w:pStyle w:val="null3"/>
            </w:pPr>
            <w:r>
              <w:rPr/>
              <w:t>服务内容及服务邀请应答表</w:t>
            </w:r>
          </w:p>
        </w:tc>
      </w:tr>
      <w:tr>
        <w:tc>
          <w:tcPr>
            <w:tcW w:type="dxa" w:w="831"/>
            <w:vMerge/>
          </w:tcPr>
          <w:p/>
        </w:tc>
        <w:tc>
          <w:tcPr>
            <w:tcW w:type="dxa" w:w="1661"/>
          </w:tcPr>
          <w:p>
            <w:pPr>
              <w:pStyle w:val="null3"/>
            </w:pPr>
            <w:r>
              <w:rPr/>
              <w:t>项目经理</w:t>
            </w:r>
          </w:p>
        </w:tc>
        <w:tc>
          <w:tcPr>
            <w:tcW w:type="dxa" w:w="2492"/>
          </w:tcPr>
          <w:p>
            <w:pPr>
              <w:pStyle w:val="null3"/>
            </w:pPr>
            <w:r>
              <w:rPr/>
              <w:t>项目经理有丰富的工作经验且完成过类似项目业绩（提供自2021年11月以来至今），每提供1份业绩得2分，满分4分。 注：须提供相关证明材料复印件并加盖公章，业绩以合同或中标（成交）通知书为依据，可与投标人业绩重复，不提供者不计分。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服务内容及服务邀请应答表</w:t>
            </w:r>
          </w:p>
          <w:p>
            <w:pPr>
              <w:pStyle w:val="null3"/>
            </w:pPr>
            <w:r>
              <w:rPr/>
              <w:t>商务应答表</w:t>
            </w:r>
          </w:p>
          <w:p>
            <w:pPr>
              <w:pStyle w:val="null3"/>
            </w:pPr>
            <w:r>
              <w:rPr/>
              <w:t>服务方案</w:t>
            </w:r>
          </w:p>
        </w:tc>
      </w:tr>
      <w:tr>
        <w:tc>
          <w:tcPr>
            <w:tcW w:type="dxa" w:w="831"/>
            <w:vMerge/>
          </w:tcPr>
          <w:p/>
        </w:tc>
        <w:tc>
          <w:tcPr>
            <w:tcW w:type="dxa" w:w="1661"/>
          </w:tcPr>
          <w:p>
            <w:pPr>
              <w:pStyle w:val="null3"/>
            </w:pPr>
            <w:r>
              <w:rPr/>
              <w:t>人员、设备配置</w:t>
            </w:r>
          </w:p>
        </w:tc>
        <w:tc>
          <w:tcPr>
            <w:tcW w:type="dxa" w:w="2492"/>
          </w:tcPr>
          <w:p>
            <w:pPr>
              <w:pStyle w:val="null3"/>
            </w:pPr>
            <w:r>
              <w:rPr/>
              <w:t>1、拟投入本项目组人员满足服务要求，配置结构健全、合理且分工明确，以及相关领域的工作经验进行评审，按其响应程度得10～0分； 2、所投入的人员在服务期内能与采购人密切协作，高效沟通，保持良好的协作关系，保证项目的顺利进行，按其响应程度得5～0分。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服务内容及服务邀请应答表</w:t>
            </w:r>
          </w:p>
          <w:p>
            <w:pPr>
              <w:pStyle w:val="null3"/>
            </w:pPr>
            <w:r>
              <w:rPr/>
              <w:t>商务应答表</w:t>
            </w:r>
          </w:p>
          <w:p>
            <w:pPr>
              <w:pStyle w:val="null3"/>
            </w:pPr>
            <w:r>
              <w:rPr/>
              <w:t>服务方案</w:t>
            </w:r>
          </w:p>
        </w:tc>
      </w:tr>
      <w:tr>
        <w:tc>
          <w:tcPr>
            <w:tcW w:type="dxa" w:w="831"/>
            <w:vMerge/>
          </w:tcPr>
          <w:p/>
        </w:tc>
        <w:tc>
          <w:tcPr>
            <w:tcW w:type="dxa" w:w="1661"/>
          </w:tcPr>
          <w:p>
            <w:pPr>
              <w:pStyle w:val="null3"/>
            </w:pPr>
            <w:r>
              <w:rPr/>
              <w:t>培训</w:t>
            </w:r>
          </w:p>
        </w:tc>
        <w:tc>
          <w:tcPr>
            <w:tcW w:type="dxa" w:w="2492"/>
          </w:tcPr>
          <w:p>
            <w:pPr>
              <w:pStyle w:val="null3"/>
            </w:pPr>
            <w:r>
              <w:rPr/>
              <w:t>对服务人员的岗前培训计划、基本法律知识及保安相关的政策、规定的了解程度及掌握安保所需的相关技能。 方案详细、全面、可行得5～10分； 方案较详细、较全面、较可行得0～5分。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服务内容及服务邀请应答表</w:t>
            </w:r>
          </w:p>
          <w:p>
            <w:pPr>
              <w:pStyle w:val="null3"/>
            </w:pPr>
            <w:r>
              <w:rPr/>
              <w:t>商务应答表</w:t>
            </w:r>
          </w:p>
          <w:p>
            <w:pPr>
              <w:pStyle w:val="null3"/>
            </w:pPr>
            <w:r>
              <w:rPr/>
              <w:t>服务方案</w:t>
            </w:r>
          </w:p>
        </w:tc>
      </w:tr>
      <w:tr>
        <w:tc>
          <w:tcPr>
            <w:tcW w:type="dxa" w:w="831"/>
            <w:vMerge/>
          </w:tcPr>
          <w:p/>
        </w:tc>
        <w:tc>
          <w:tcPr>
            <w:tcW w:type="dxa" w:w="1661"/>
          </w:tcPr>
          <w:p>
            <w:pPr>
              <w:pStyle w:val="null3"/>
            </w:pPr>
            <w:r>
              <w:rPr/>
              <w:t>投标人类似业绩</w:t>
            </w:r>
          </w:p>
        </w:tc>
        <w:tc>
          <w:tcPr>
            <w:tcW w:type="dxa" w:w="2492"/>
          </w:tcPr>
          <w:p>
            <w:pPr>
              <w:pStyle w:val="null3"/>
            </w:pPr>
            <w:r>
              <w:rPr/>
              <w:t>提供2021年1月1日起至今类似项目业绩，每有1项业绩得2分，最多得4分。 注：须提供相关证明材料复印件并加盖公章，业绩以合同或中标（成交）通知书为依据，可与项目经理业绩重复，不提供者不计分。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商务应答表</w:t>
            </w:r>
          </w:p>
          <w:p>
            <w:pPr>
              <w:pStyle w:val="null3"/>
            </w:pPr>
            <w:r>
              <w:rPr/>
              <w:t>服务方案</w:t>
            </w:r>
          </w:p>
          <w:p>
            <w:pPr>
              <w:pStyle w:val="null3"/>
            </w:pPr>
            <w:r>
              <w:rPr/>
              <w:t>服务内容及服务邀请应答表</w:t>
            </w:r>
          </w:p>
        </w:tc>
      </w:tr>
      <w:tr>
        <w:tc>
          <w:tcPr>
            <w:tcW w:type="dxa" w:w="831"/>
            <w:vMerge/>
          </w:tcPr>
          <w:p/>
        </w:tc>
        <w:tc>
          <w:tcPr>
            <w:tcW w:type="dxa" w:w="1661"/>
          </w:tcPr>
          <w:p>
            <w:pPr>
              <w:pStyle w:val="null3"/>
            </w:pPr>
            <w:r>
              <w:rPr/>
              <w:t>应急处理方案</w:t>
            </w:r>
          </w:p>
        </w:tc>
        <w:tc>
          <w:tcPr>
            <w:tcW w:type="dxa" w:w="2492"/>
          </w:tcPr>
          <w:p>
            <w:pPr>
              <w:pStyle w:val="null3"/>
            </w:pPr>
            <w:r>
              <w:rPr/>
              <w:t>针对本项目提供突发情况的服务应急方案。 方案详细可行、合理、全面得3～7分； 方案详细较可行、基本合理、较全面得0～3分。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商务应答表</w:t>
            </w:r>
          </w:p>
          <w:p>
            <w:pPr>
              <w:pStyle w:val="null3"/>
            </w:pPr>
            <w:r>
              <w:rPr/>
              <w:t>服务方案</w:t>
            </w:r>
          </w:p>
          <w:p>
            <w:pPr>
              <w:pStyle w:val="null3"/>
            </w:pPr>
            <w:r>
              <w:rPr/>
              <w:t>服务内容及服务邀请应答表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经资格审查、符合性审查合格的磋商响应文件，其磋商报价为有效磋商报价。满足磋商文件要求且磋商价格最低的最终磋商报价为评标基准价，其价格分为满分。价格分按照下列公式计算。 磋商报价得分=（磋商基准价/最终磋商报价）×10 本项目专门面向中小企业采购，不再进行价格扣</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详见附件：资格证明文件</w:t>
      </w:r>
    </w:p>
    <w:p>
      <w:pPr>
        <w:pStyle w:val="null3"/>
        <w:ind w:firstLine="960"/>
      </w:pPr>
      <w:r>
        <w:rPr/>
        <w:t>详见附件：分项报价表</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详见附件：（秦家、康家村）合同条款.docx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