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DC622">
      <w:pPr>
        <w:pStyle w:val="2"/>
        <w:bidi w:val="0"/>
        <w:jc w:val="center"/>
        <w:rPr>
          <w:rFonts w:hint="eastAsia"/>
          <w:lang w:val="en-US" w:eastAsia="zh-CN"/>
        </w:rPr>
      </w:pPr>
      <w:r>
        <w:rPr>
          <w:rFonts w:hint="eastAsia"/>
          <w:lang w:val="en-US" w:eastAsia="zh-CN"/>
        </w:rPr>
        <w:t>合同条款（参考）</w:t>
      </w:r>
    </w:p>
    <w:p w14:paraId="1ED39554">
      <w:pPr>
        <w:pStyle w:val="5"/>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4BD3A811">
      <w:pPr>
        <w:pStyle w:val="5"/>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7ACAF88E">
      <w:pPr>
        <w:pStyle w:val="5"/>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4A6A2623">
      <w:pPr>
        <w:pStyle w:val="5"/>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70CE4822">
      <w:pPr>
        <w:pStyle w:val="5"/>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中标人（乙方）：</w:t>
      </w:r>
    </w:p>
    <w:p w14:paraId="210819CF">
      <w:pPr>
        <w:pStyle w:val="5"/>
        <w:spacing w:before="120" w:beforeLines="5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根据《中华人民共和国政府采购法》及实施条例、《中华人民共和国民法典》和甲方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w:t>
      </w:r>
      <w:r>
        <w:rPr>
          <w:rFonts w:hint="eastAsia" w:ascii="宋体" w:hAnsi="宋体"/>
          <w:color w:val="auto"/>
          <w:sz w:val="21"/>
          <w:szCs w:val="21"/>
          <w:highlight w:val="none"/>
          <w:u w:val="single"/>
        </w:rPr>
        <w:t>西安浐灞国际港世园会展产业园秦家、康家村回迁分房服务项目</w:t>
      </w:r>
      <w:r>
        <w:rPr>
          <w:rFonts w:hint="eastAsia" w:ascii="宋体" w:hAnsi="宋体"/>
          <w:color w:val="auto"/>
          <w:sz w:val="21"/>
          <w:szCs w:val="21"/>
          <w:highlight w:val="none"/>
          <w:u w:val="single"/>
        </w:rPr>
        <w:t>（项目编号：ZDCG2024112801/GWZC2024-225）</w:t>
      </w:r>
      <w:r>
        <w:rPr>
          <w:rFonts w:hint="eastAsia" w:ascii="宋体" w:hAnsi="宋体"/>
          <w:color w:val="auto"/>
          <w:sz w:val="21"/>
          <w:szCs w:val="21"/>
          <w:highlight w:val="none"/>
        </w:rPr>
        <w:t>的</w:t>
      </w:r>
      <w:r>
        <w:rPr>
          <w:rFonts w:hint="eastAsia" w:ascii="宋体" w:hAnsi="宋体"/>
          <w:color w:val="auto"/>
          <w:sz w:val="21"/>
          <w:szCs w:val="21"/>
          <w:highlight w:val="none"/>
          <w:lang w:val="en-US" w:eastAsia="zh-CN"/>
        </w:rPr>
        <w:t>采购</w:t>
      </w:r>
      <w:r>
        <w:rPr>
          <w:rFonts w:hint="eastAsia" w:ascii="宋体" w:hAnsi="宋体"/>
          <w:color w:val="auto"/>
          <w:sz w:val="21"/>
          <w:szCs w:val="21"/>
          <w:highlight w:val="none"/>
        </w:rPr>
        <w:t>文件、投标文件等有关规定，为确保甲方采购项目的顺利实施，甲、乙双方在平等自愿原则下签订本合同，并共同遵守如下条款：</w:t>
      </w:r>
    </w:p>
    <w:p w14:paraId="763D9F7A">
      <w:pPr>
        <w:numPr>
          <w:ilvl w:val="0"/>
          <w:numId w:val="1"/>
        </w:numPr>
        <w:spacing w:before="120" w:beforeLines="50" w:after="120" w:afterLines="50" w:line="360" w:lineRule="auto"/>
        <w:ind w:firstLine="301" w:firstLineChars="100"/>
        <w:rPr>
          <w:rFonts w:hint="eastAsia" w:ascii="宋体" w:hAnsi="宋体"/>
          <w:b/>
          <w:color w:val="auto"/>
          <w:sz w:val="30"/>
          <w:szCs w:val="30"/>
          <w:highlight w:val="none"/>
        </w:rPr>
      </w:pPr>
      <w:r>
        <w:rPr>
          <w:rFonts w:hint="eastAsia" w:ascii="宋体" w:hAnsi="宋体"/>
          <w:b/>
          <w:color w:val="auto"/>
          <w:sz w:val="30"/>
          <w:szCs w:val="30"/>
          <w:highlight w:val="none"/>
        </w:rPr>
        <w:t xml:space="preserve">  项目基本情况</w:t>
      </w:r>
    </w:p>
    <w:p w14:paraId="4F24C9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秦家、康家村回迁约370户，目前，安置地块内的住宅楼、公共设施、商业配套用房主楼均已施工完成，室外管网、道路、铺装广场、室外绿化均已完成，正在推进水、电、气、暖接驳等收尾工程。为落实管委会“保回迁”工作目标任务要求，保证回迁分房工作顺利完成，需进行本次项目采购。</w:t>
      </w:r>
    </w:p>
    <w:p w14:paraId="2DB3020E">
      <w:pPr>
        <w:spacing w:before="120" w:beforeLines="50" w:after="120" w:afterLines="50" w:line="360" w:lineRule="auto"/>
        <w:ind w:firstLine="301" w:firstLineChars="100"/>
        <w:rPr>
          <w:color w:val="auto"/>
          <w:highlight w:val="none"/>
        </w:rPr>
      </w:pPr>
      <w:r>
        <w:rPr>
          <w:rFonts w:hint="eastAsia" w:ascii="宋体" w:hAnsi="宋体"/>
          <w:b/>
          <w:color w:val="auto"/>
          <w:sz w:val="30"/>
          <w:szCs w:val="30"/>
          <w:highlight w:val="none"/>
        </w:rPr>
        <w:t>第二条   服务周期</w:t>
      </w:r>
    </w:p>
    <w:p w14:paraId="1FAB0DF6">
      <w:pPr>
        <w:pStyle w:val="5"/>
        <w:spacing w:line="360" w:lineRule="auto"/>
        <w:ind w:firstLine="420"/>
        <w:rPr>
          <w:rFonts w:hint="eastAsia" w:ascii="宋体" w:hAnsi="宋体"/>
          <w:color w:val="auto"/>
          <w:sz w:val="21"/>
          <w:szCs w:val="21"/>
          <w:highlight w:val="none"/>
        </w:rPr>
      </w:pPr>
      <w:bookmarkStart w:id="0" w:name="_Toc239568418"/>
      <w:bookmarkStart w:id="1" w:name="_Toc212019594"/>
      <w:bookmarkStart w:id="2" w:name="_Toc247334841"/>
      <w:bookmarkStart w:id="3" w:name="_Toc211911348"/>
      <w:bookmarkStart w:id="4" w:name="_Toc237145406"/>
      <w:bookmarkStart w:id="5" w:name="_Toc232492928"/>
      <w:bookmarkStart w:id="6" w:name="_Toc239233914"/>
      <w:bookmarkStart w:id="7" w:name="_Toc185395249"/>
      <w:bookmarkStart w:id="8" w:name="_Toc225244852"/>
      <w:bookmarkStart w:id="9" w:name="_Toc225654644"/>
      <w:bookmarkStart w:id="10" w:name="_Toc282696226"/>
      <w:bookmarkStart w:id="11" w:name="_Toc238984975"/>
      <w:bookmarkStart w:id="12" w:name="_Toc286993786"/>
      <w:bookmarkStart w:id="13" w:name="_Toc283019214"/>
      <w:bookmarkStart w:id="14" w:name="_Toc241833903"/>
      <w:bookmarkStart w:id="15" w:name="_Toc251768862"/>
      <w:bookmarkStart w:id="16" w:name="_Toc211854449"/>
      <w:bookmarkStart w:id="17" w:name="_Toc225670751"/>
      <w:r>
        <w:rPr>
          <w:rFonts w:hint="eastAsia" w:ascii="宋体" w:hAnsi="宋体"/>
          <w:color w:val="auto"/>
          <w:sz w:val="21"/>
          <w:szCs w:val="21"/>
          <w:highlight w:val="none"/>
        </w:rPr>
        <w:t>自合同签订之日6个月内完成回迁（回迁过程包含1次选房、1次分房）。</w:t>
      </w:r>
    </w:p>
    <w:p w14:paraId="17D0C222">
      <w:pPr>
        <w:numPr>
          <w:ilvl w:val="0"/>
          <w:numId w:val="1"/>
        </w:numPr>
        <w:spacing w:line="360" w:lineRule="auto"/>
        <w:ind w:left="0" w:leftChars="0" w:firstLine="301" w:firstLineChars="100"/>
        <w:rPr>
          <w:rFonts w:hint="eastAsia" w:ascii="宋体" w:hAnsi="宋体"/>
          <w:b/>
          <w:color w:val="auto"/>
          <w:sz w:val="30"/>
          <w:szCs w:val="30"/>
          <w:highlight w:val="none"/>
        </w:rPr>
      </w:pPr>
      <w:r>
        <w:rPr>
          <w:rFonts w:hint="eastAsia" w:ascii="宋体" w:hAnsi="宋体"/>
          <w:b/>
          <w:color w:val="auto"/>
          <w:sz w:val="30"/>
          <w:szCs w:val="30"/>
          <w:highlight w:val="none"/>
        </w:rPr>
        <w:t xml:space="preserve">  服务内容</w:t>
      </w:r>
    </w:p>
    <w:p w14:paraId="1B73E3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b w:val="0"/>
          <w:bCs/>
          <w:color w:val="auto"/>
          <w:sz w:val="21"/>
          <w:szCs w:val="21"/>
          <w:highlight w:val="none"/>
        </w:rPr>
      </w:pPr>
      <w:r>
        <w:rPr>
          <w:rFonts w:hint="eastAsia" w:ascii="宋体" w:hAnsi="宋体"/>
          <w:b w:val="0"/>
          <w:bCs/>
          <w:color w:val="auto"/>
          <w:sz w:val="21"/>
          <w:szCs w:val="21"/>
          <w:highlight w:val="none"/>
        </w:rPr>
        <w:t>1.租赁回迁选房、分房场地，现场办公家具、办公用品内外规划布置。</w:t>
      </w:r>
    </w:p>
    <w:p w14:paraId="594E39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b w:val="0"/>
          <w:bCs/>
          <w:color w:val="auto"/>
          <w:sz w:val="21"/>
          <w:szCs w:val="21"/>
          <w:highlight w:val="none"/>
        </w:rPr>
      </w:pPr>
      <w:r>
        <w:rPr>
          <w:rFonts w:hint="eastAsia" w:ascii="宋体" w:hAnsi="宋体"/>
          <w:b w:val="0"/>
          <w:bCs/>
          <w:color w:val="auto"/>
          <w:sz w:val="21"/>
          <w:szCs w:val="21"/>
          <w:highlight w:val="none"/>
        </w:rPr>
        <w:t>2.回迁宣传资料策划、制作、采购;宣传用品现场布置。</w:t>
      </w:r>
    </w:p>
    <w:p w14:paraId="7F3E95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b w:val="0"/>
          <w:bCs/>
          <w:color w:val="auto"/>
          <w:sz w:val="21"/>
          <w:szCs w:val="21"/>
          <w:highlight w:val="none"/>
        </w:rPr>
      </w:pPr>
      <w:r>
        <w:rPr>
          <w:rFonts w:hint="eastAsia" w:ascii="宋体" w:hAnsi="宋体"/>
          <w:b w:val="0"/>
          <w:bCs/>
          <w:color w:val="auto"/>
          <w:sz w:val="21"/>
          <w:szCs w:val="21"/>
          <w:highlight w:val="none"/>
        </w:rPr>
        <w:t>3.选房、分房人员招聘培训，聘请公证、安保单位。</w:t>
      </w:r>
    </w:p>
    <w:p w14:paraId="0E92DB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b w:val="0"/>
          <w:bCs/>
          <w:color w:val="auto"/>
          <w:sz w:val="21"/>
          <w:szCs w:val="21"/>
          <w:highlight w:val="none"/>
        </w:rPr>
      </w:pPr>
      <w:r>
        <w:rPr>
          <w:rFonts w:hint="eastAsia" w:ascii="宋体" w:hAnsi="宋体"/>
          <w:b w:val="0"/>
          <w:bCs/>
          <w:color w:val="auto"/>
          <w:sz w:val="21"/>
          <w:szCs w:val="21"/>
          <w:highlight w:val="none"/>
        </w:rPr>
        <w:t>4.制定选房、分房方案并组织具体实施，包括人员组织、档案整理、安保维稳、现场公证、影像记录、现场公示、回迁手续办理、发放房屋证明、领取房屋钥匙、现场工作人员餐饮。</w:t>
      </w:r>
    </w:p>
    <w:p w14:paraId="08A5DD73">
      <w:pPr>
        <w:spacing w:before="120" w:beforeLines="50" w:after="120" w:afterLines="50" w:line="360" w:lineRule="auto"/>
        <w:ind w:firstLine="301" w:firstLineChars="100"/>
        <w:rPr>
          <w:rFonts w:hint="eastAsia" w:ascii="宋体" w:hAnsi="宋体"/>
          <w:b/>
          <w:color w:val="auto"/>
          <w:sz w:val="30"/>
          <w:szCs w:val="30"/>
          <w:highlight w:val="none"/>
        </w:rPr>
      </w:pPr>
      <w:r>
        <w:rPr>
          <w:rFonts w:hint="eastAsia" w:ascii="宋体" w:hAnsi="宋体"/>
          <w:b/>
          <w:color w:val="auto"/>
          <w:sz w:val="30"/>
          <w:szCs w:val="30"/>
          <w:highlight w:val="none"/>
        </w:rPr>
        <w:t>第四条   服务质量</w:t>
      </w:r>
    </w:p>
    <w:p w14:paraId="263210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eastAsia="宋体" w:cs="Times New Roman"/>
          <w:b w:val="0"/>
          <w:bCs/>
          <w:color w:val="auto"/>
          <w:sz w:val="21"/>
          <w:szCs w:val="21"/>
          <w:highlight w:val="none"/>
          <w:lang w:val="en-US" w:eastAsia="zh-CN"/>
        </w:rPr>
      </w:pPr>
      <w:r>
        <w:rPr>
          <w:rFonts w:hint="eastAsia" w:ascii="宋体" w:hAnsi="宋体" w:eastAsia="宋体" w:cs="Times New Roman"/>
          <w:b w:val="0"/>
          <w:bCs/>
          <w:color w:val="auto"/>
          <w:sz w:val="21"/>
          <w:szCs w:val="21"/>
          <w:highlight w:val="none"/>
          <w:lang w:val="en-US" w:eastAsia="zh-CN"/>
        </w:rPr>
        <w:t>1．甲方应按照相关规定，及时向乙方提供有关服务项目的信息。</w:t>
      </w:r>
    </w:p>
    <w:p w14:paraId="7E1AFE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eastAsia="宋体" w:cs="Times New Roman"/>
          <w:b w:val="0"/>
          <w:bCs/>
          <w:color w:val="auto"/>
          <w:sz w:val="21"/>
          <w:szCs w:val="21"/>
          <w:highlight w:val="none"/>
          <w:lang w:val="en-US" w:eastAsia="zh-CN"/>
        </w:rPr>
      </w:pPr>
      <w:r>
        <w:rPr>
          <w:rFonts w:hint="eastAsia" w:ascii="宋体" w:hAnsi="宋体" w:eastAsia="宋体" w:cs="Times New Roman"/>
          <w:b w:val="0"/>
          <w:bCs/>
          <w:color w:val="auto"/>
          <w:sz w:val="21"/>
          <w:szCs w:val="21"/>
          <w:highlight w:val="none"/>
          <w:lang w:val="en-US" w:eastAsia="zh-CN"/>
        </w:rPr>
        <w:t>2．乙方同意按照国家有关规范，安全服务，依法开展回迁分房等工作。</w:t>
      </w:r>
    </w:p>
    <w:p w14:paraId="719310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20" w:firstLineChars="200"/>
        <w:textAlignment w:val="auto"/>
        <w:rPr>
          <w:rFonts w:hint="eastAsia" w:ascii="宋体" w:hAnsi="宋体" w:eastAsia="宋体" w:cs="Times New Roman"/>
          <w:b w:val="0"/>
          <w:bCs/>
          <w:color w:val="auto"/>
          <w:sz w:val="21"/>
          <w:szCs w:val="21"/>
          <w:highlight w:val="none"/>
          <w:lang w:val="en-US" w:eastAsia="zh-CN"/>
        </w:rPr>
      </w:pPr>
      <w:r>
        <w:rPr>
          <w:rFonts w:hint="eastAsia" w:ascii="宋体" w:hAnsi="宋体" w:eastAsia="宋体" w:cs="Times New Roman"/>
          <w:b w:val="0"/>
          <w:bCs/>
          <w:color w:val="auto"/>
          <w:sz w:val="21"/>
          <w:szCs w:val="21"/>
          <w:highlight w:val="none"/>
          <w:lang w:val="en-US" w:eastAsia="zh-CN"/>
        </w:rPr>
        <w:t>3．乙方应根据服务方案规范及服务质量要求进行服务工作，甲方在乙方提供服务过程中应起到协助、配合及监督的作用。</w:t>
      </w:r>
    </w:p>
    <w:p w14:paraId="51DD9373">
      <w:pPr>
        <w:spacing w:before="120" w:beforeLines="50" w:after="120" w:afterLines="50" w:line="360" w:lineRule="auto"/>
        <w:ind w:firstLine="301" w:firstLineChars="100"/>
        <w:rPr>
          <w:rFonts w:hint="eastAsia" w:ascii="宋体" w:hAnsi="宋体"/>
          <w:b/>
          <w:color w:val="auto"/>
          <w:sz w:val="30"/>
          <w:szCs w:val="30"/>
          <w:highlight w:val="none"/>
        </w:rPr>
      </w:pPr>
      <w:r>
        <w:rPr>
          <w:rFonts w:hint="eastAsia" w:ascii="宋体" w:hAnsi="宋体" w:cs="宋体"/>
          <w:b/>
          <w:color w:val="auto"/>
          <w:sz w:val="30"/>
          <w:szCs w:val="30"/>
          <w:highlight w:val="none"/>
        </w:rPr>
        <w:t>第五条   费用及支付办法</w:t>
      </w:r>
    </w:p>
    <w:p w14:paraId="461F7952">
      <w:pPr>
        <w:widowControl/>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1.本合同为固定综合单价合同；结算形式：单价结算；</w:t>
      </w:r>
    </w:p>
    <w:p w14:paraId="2676C2DC">
      <w:pPr>
        <w:widowControl/>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2.合同签订后支付合同价款的40%预付款;回迁、分房完成后，采购人确认遗留问题处理完成，无信访维稳风险后，根据实际回迁户数与中标单位据实结算，支付剩余款项。</w:t>
      </w:r>
    </w:p>
    <w:p w14:paraId="38B0593D">
      <w:pPr>
        <w:widowControl/>
        <w:spacing w:line="360" w:lineRule="auto"/>
        <w:ind w:firstLine="404" w:firstLineChars="200"/>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暂定合同总价</w:t>
      </w:r>
      <w:r>
        <w:rPr>
          <w:rFonts w:hint="eastAsia" w:ascii="宋体" w:hAnsi="宋体" w:eastAsia="宋体" w:cs="宋体"/>
          <w:spacing w:val="-4"/>
          <w:sz w:val="21"/>
          <w:szCs w:val="21"/>
          <w:highlight w:val="none"/>
          <w:lang w:eastAsia="zh-CN"/>
        </w:rPr>
        <w:t>：</w:t>
      </w:r>
      <w:r>
        <w:rPr>
          <w:rFonts w:hint="eastAsia" w:ascii="宋体" w:hAnsi="宋体" w:eastAsia="宋体" w:cs="宋体"/>
          <w:b w:val="0"/>
          <w:bCs w:val="0"/>
          <w:spacing w:val="-4"/>
          <w:sz w:val="21"/>
          <w:szCs w:val="21"/>
          <w:highlight w:val="none"/>
          <w:u w:val="single" w:color="auto"/>
        </w:rPr>
        <w:t>(大</w:t>
      </w:r>
      <w:r>
        <w:rPr>
          <w:rFonts w:hint="eastAsia" w:ascii="宋体" w:hAnsi="宋体" w:eastAsia="宋体" w:cs="宋体"/>
          <w:b w:val="0"/>
          <w:bCs w:val="0"/>
          <w:spacing w:val="-2"/>
          <w:sz w:val="21"/>
          <w:szCs w:val="21"/>
          <w:highlight w:val="none"/>
          <w:u w:val="single" w:color="auto"/>
        </w:rPr>
        <w:t>写)</w:t>
      </w:r>
      <w:r>
        <w:rPr>
          <w:rFonts w:hint="eastAsia" w:ascii="宋体" w:hAnsi="宋体" w:eastAsia="宋体" w:cs="宋体"/>
          <w:b w:val="0"/>
          <w:bCs w:val="0"/>
          <w:spacing w:val="-2"/>
          <w:sz w:val="21"/>
          <w:szCs w:val="21"/>
          <w:highlight w:val="none"/>
          <w:u w:val="single" w:color="auto"/>
          <w:lang w:eastAsia="zh-CN"/>
        </w:rPr>
        <w:t>：</w:t>
      </w:r>
      <w:r>
        <w:rPr>
          <w:rFonts w:hint="eastAsia" w:ascii="宋体" w:hAnsi="宋体" w:eastAsia="宋体" w:cs="宋体"/>
          <w:b/>
          <w:bCs/>
          <w:spacing w:val="-2"/>
          <w:sz w:val="21"/>
          <w:szCs w:val="21"/>
          <w:highlight w:val="none"/>
          <w:u w:val="single" w:color="auto"/>
          <w:lang w:val="en-US" w:eastAsia="zh-CN"/>
        </w:rPr>
        <w:t xml:space="preserve">       </w:t>
      </w:r>
      <w:r>
        <w:rPr>
          <w:rFonts w:hint="eastAsia" w:ascii="宋体" w:hAnsi="宋体" w:eastAsia="宋体" w:cs="宋体"/>
          <w:b/>
          <w:bCs/>
          <w:spacing w:val="-2"/>
          <w:sz w:val="21"/>
          <w:szCs w:val="21"/>
          <w:highlight w:val="none"/>
          <w:u w:val="single" w:color="auto"/>
        </w:rPr>
        <w:t xml:space="preserve"> </w:t>
      </w:r>
      <w:r>
        <w:rPr>
          <w:rFonts w:hint="eastAsia" w:ascii="宋体" w:hAnsi="宋体" w:eastAsia="宋体" w:cs="宋体"/>
          <w:spacing w:val="-2"/>
          <w:sz w:val="21"/>
          <w:szCs w:val="21"/>
          <w:highlight w:val="none"/>
        </w:rPr>
        <w:t>(小写：</w:t>
      </w:r>
      <w:r>
        <w:rPr>
          <w:rFonts w:hint="eastAsia" w:ascii="宋体" w:hAnsi="宋体" w:eastAsia="宋体" w:cs="宋体"/>
          <w:b/>
          <w:bCs/>
          <w:spacing w:val="-2"/>
          <w:sz w:val="21"/>
          <w:szCs w:val="21"/>
          <w:highlight w:val="none"/>
          <w:u w:val="single" w:color="auto"/>
          <w:lang w:val="en-US" w:eastAsia="zh-CN"/>
        </w:rPr>
        <w:t xml:space="preserve">        </w:t>
      </w:r>
      <w:r>
        <w:rPr>
          <w:rFonts w:hint="eastAsia" w:ascii="宋体" w:hAnsi="宋体" w:eastAsia="宋体" w:cs="宋体"/>
          <w:spacing w:val="-2"/>
          <w:sz w:val="21"/>
          <w:szCs w:val="21"/>
          <w:highlight w:val="none"/>
          <w:u w:val="single" w:color="auto"/>
        </w:rPr>
        <w:t xml:space="preserve"> </w:t>
      </w:r>
      <w:r>
        <w:rPr>
          <w:rFonts w:hint="eastAsia" w:ascii="宋体" w:hAnsi="宋体" w:eastAsia="宋体" w:cs="宋体"/>
          <w:spacing w:val="-2"/>
          <w:sz w:val="21"/>
          <w:szCs w:val="21"/>
          <w:highlight w:val="none"/>
        </w:rPr>
        <w:t>元) 。</w:t>
      </w:r>
      <w:r>
        <w:rPr>
          <w:rFonts w:hint="eastAsia" w:ascii="宋体" w:hAnsi="宋体" w:cs="宋体"/>
          <w:bCs/>
          <w:color w:val="auto"/>
          <w:szCs w:val="21"/>
          <w:highlight w:val="none"/>
        </w:rPr>
        <w:t>此费用包含外包服务费、税费、单位承担社保等外包成本</w:t>
      </w:r>
      <w:r>
        <w:rPr>
          <w:rFonts w:hint="eastAsia" w:ascii="宋体" w:hAnsi="宋体" w:cs="宋体"/>
          <w:color w:val="auto"/>
          <w:szCs w:val="21"/>
          <w:highlight w:val="none"/>
        </w:rPr>
        <w:t>。</w:t>
      </w:r>
    </w:p>
    <w:tbl>
      <w:tblPr>
        <w:tblStyle w:val="6"/>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04"/>
        <w:gridCol w:w="2385"/>
        <w:gridCol w:w="3098"/>
        <w:gridCol w:w="1012"/>
      </w:tblGrid>
      <w:tr w14:paraId="7C7A4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1804" w:type="dxa"/>
            <w:vAlign w:val="center"/>
          </w:tcPr>
          <w:p w14:paraId="3E1E2D4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工作内</w:t>
            </w:r>
            <w:r>
              <w:rPr>
                <w:rFonts w:hint="eastAsia" w:ascii="宋体" w:hAnsi="宋体" w:eastAsia="宋体" w:cs="宋体"/>
                <w:spacing w:val="6"/>
                <w:sz w:val="21"/>
                <w:szCs w:val="21"/>
                <w:highlight w:val="none"/>
              </w:rPr>
              <w:t>容</w:t>
            </w:r>
          </w:p>
        </w:tc>
        <w:tc>
          <w:tcPr>
            <w:tcW w:w="2385" w:type="dxa"/>
            <w:vAlign w:val="center"/>
          </w:tcPr>
          <w:p w14:paraId="68852C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暂</w:t>
            </w:r>
            <w:r>
              <w:rPr>
                <w:rFonts w:hint="eastAsia" w:ascii="宋体" w:hAnsi="宋体" w:eastAsia="宋体" w:cs="宋体"/>
                <w:spacing w:val="7"/>
                <w:sz w:val="21"/>
                <w:szCs w:val="21"/>
                <w:highlight w:val="none"/>
              </w:rPr>
              <w:t>定</w:t>
            </w:r>
            <w:r>
              <w:rPr>
                <w:rFonts w:hint="eastAsia" w:ascii="宋体" w:hAnsi="宋体" w:eastAsia="宋体" w:cs="宋体"/>
                <w:spacing w:val="7"/>
                <w:sz w:val="21"/>
                <w:szCs w:val="21"/>
                <w:highlight w:val="none"/>
                <w:lang w:val="en-US" w:eastAsia="zh-CN"/>
              </w:rPr>
              <w:t>回迁</w:t>
            </w:r>
            <w:r>
              <w:rPr>
                <w:rFonts w:hint="eastAsia" w:ascii="宋体" w:hAnsi="宋体" w:eastAsia="宋体" w:cs="宋体"/>
                <w:spacing w:val="7"/>
                <w:sz w:val="21"/>
                <w:szCs w:val="21"/>
                <w:highlight w:val="none"/>
              </w:rPr>
              <w:t>户数</w:t>
            </w:r>
          </w:p>
        </w:tc>
        <w:tc>
          <w:tcPr>
            <w:tcW w:w="3098" w:type="dxa"/>
            <w:vAlign w:val="center"/>
          </w:tcPr>
          <w:p w14:paraId="32F972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综合单</w:t>
            </w:r>
            <w:r>
              <w:rPr>
                <w:rFonts w:hint="eastAsia" w:ascii="宋体" w:hAnsi="宋体" w:eastAsia="宋体" w:cs="宋体"/>
                <w:spacing w:val="7"/>
                <w:sz w:val="21"/>
                <w:szCs w:val="21"/>
                <w:highlight w:val="none"/>
              </w:rPr>
              <w:t>价</w:t>
            </w:r>
          </w:p>
        </w:tc>
        <w:tc>
          <w:tcPr>
            <w:tcW w:w="1012" w:type="dxa"/>
            <w:vAlign w:val="center"/>
          </w:tcPr>
          <w:p w14:paraId="12B961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备</w:t>
            </w:r>
            <w:r>
              <w:rPr>
                <w:rFonts w:hint="eastAsia" w:ascii="宋体" w:hAnsi="宋体" w:eastAsia="宋体" w:cs="宋体"/>
                <w:spacing w:val="3"/>
                <w:sz w:val="21"/>
                <w:szCs w:val="21"/>
                <w:highlight w:val="none"/>
              </w:rPr>
              <w:t>注</w:t>
            </w:r>
          </w:p>
        </w:tc>
      </w:tr>
      <w:tr w14:paraId="53944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1804" w:type="dxa"/>
            <w:vAlign w:val="center"/>
          </w:tcPr>
          <w:p w14:paraId="733A04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秦家、康家村回迁分房服务</w:t>
            </w:r>
          </w:p>
        </w:tc>
        <w:tc>
          <w:tcPr>
            <w:tcW w:w="2385" w:type="dxa"/>
            <w:vAlign w:val="center"/>
          </w:tcPr>
          <w:p w14:paraId="4B44972D">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hint="eastAsia" w:ascii="宋体" w:hAnsi="宋体" w:eastAsia="宋体" w:cs="宋体"/>
                <w:sz w:val="21"/>
                <w:szCs w:val="21"/>
                <w:highlight w:val="none"/>
                <w:lang w:eastAsia="zh-CN"/>
              </w:rPr>
            </w:pPr>
            <w:r>
              <w:rPr>
                <w:rFonts w:hint="eastAsia" w:ascii="宋体" w:hAnsi="宋体" w:eastAsia="宋体" w:cs="宋体"/>
                <w:spacing w:val="-6"/>
                <w:sz w:val="21"/>
                <w:szCs w:val="21"/>
                <w:highlight w:val="none"/>
                <w:u w:val="single"/>
                <w:lang w:val="en-US" w:eastAsia="zh-CN"/>
              </w:rPr>
              <w:t xml:space="preserve">  </w:t>
            </w:r>
            <w:bookmarkStart w:id="34" w:name="_GoBack"/>
            <w:bookmarkEnd w:id="34"/>
            <w:r>
              <w:rPr>
                <w:rFonts w:hint="eastAsia" w:ascii="宋体" w:hAnsi="宋体" w:eastAsia="宋体" w:cs="宋体"/>
                <w:spacing w:val="-6"/>
                <w:sz w:val="21"/>
                <w:szCs w:val="21"/>
                <w:highlight w:val="none"/>
                <w:u w:val="single"/>
                <w:lang w:val="en-US" w:eastAsia="zh-CN"/>
              </w:rPr>
              <w:t xml:space="preserve">   </w:t>
            </w:r>
            <w:r>
              <w:rPr>
                <w:rFonts w:hint="eastAsia" w:ascii="宋体" w:hAnsi="宋体" w:eastAsia="宋体" w:cs="宋体"/>
                <w:spacing w:val="-6"/>
                <w:sz w:val="21"/>
                <w:szCs w:val="21"/>
                <w:highlight w:val="none"/>
              </w:rPr>
              <w:t>户</w:t>
            </w:r>
          </w:p>
        </w:tc>
        <w:tc>
          <w:tcPr>
            <w:tcW w:w="3098" w:type="dxa"/>
            <w:vAlign w:val="center"/>
          </w:tcPr>
          <w:p w14:paraId="15644FB2">
            <w:pPr>
              <w:keepNext w:val="0"/>
              <w:keepLines w:val="0"/>
              <w:pageBreakBefore w:val="0"/>
              <w:widowControl w:val="0"/>
              <w:tabs>
                <w:tab w:val="left" w:pos="1255"/>
              </w:tabs>
              <w:kinsoku/>
              <w:wordWrap/>
              <w:overflowPunct/>
              <w:topLinePunct w:val="0"/>
              <w:autoSpaceDE/>
              <w:autoSpaceDN/>
              <w:bidi w:val="0"/>
              <w:adjustRightInd/>
              <w:snapToGrid/>
              <w:spacing w:line="360" w:lineRule="auto"/>
              <w:ind w:left="0" w:firstLine="442" w:firstLineChars="200"/>
              <w:jc w:val="center"/>
              <w:textAlignment w:val="auto"/>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u w:val="single"/>
                <w:lang w:val="en-US" w:eastAsia="zh-CN"/>
              </w:rPr>
              <w:t xml:space="preserve">        </w:t>
            </w:r>
            <w:r>
              <w:rPr>
                <w:rFonts w:hint="eastAsia" w:ascii="宋体" w:hAnsi="宋体" w:eastAsia="宋体" w:cs="宋体"/>
                <w:spacing w:val="5"/>
                <w:sz w:val="21"/>
                <w:szCs w:val="21"/>
                <w:highlight w:val="none"/>
              </w:rPr>
              <w:t>元/</w:t>
            </w:r>
            <w:r>
              <w:rPr>
                <w:rFonts w:hint="eastAsia" w:ascii="宋体" w:hAnsi="宋体" w:eastAsia="宋体" w:cs="宋体"/>
                <w:spacing w:val="4"/>
                <w:sz w:val="21"/>
                <w:szCs w:val="21"/>
                <w:highlight w:val="none"/>
              </w:rPr>
              <w:t>户</w:t>
            </w:r>
          </w:p>
        </w:tc>
        <w:tc>
          <w:tcPr>
            <w:tcW w:w="1012" w:type="dxa"/>
            <w:vAlign w:val="center"/>
          </w:tcPr>
          <w:p w14:paraId="2690F1F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sz w:val="21"/>
                <w:szCs w:val="21"/>
                <w:highlight w:val="none"/>
              </w:rPr>
            </w:pPr>
          </w:p>
        </w:tc>
      </w:tr>
    </w:tbl>
    <w:p w14:paraId="617513EA">
      <w:pPr>
        <w:spacing w:before="120" w:beforeLines="50" w:after="120" w:afterLines="50" w:line="360" w:lineRule="auto"/>
        <w:ind w:firstLine="301" w:firstLineChars="10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w:t>
      </w:r>
      <w:r>
        <w:rPr>
          <w:rFonts w:hint="eastAsia" w:ascii="宋体" w:hAnsi="宋体" w:cs="宋体"/>
          <w:b/>
          <w:color w:val="auto"/>
          <w:sz w:val="30"/>
          <w:szCs w:val="30"/>
          <w:highlight w:val="none"/>
          <w:lang w:val="en-US" w:eastAsia="zh-CN"/>
        </w:rPr>
        <w:t>六</w:t>
      </w:r>
      <w:r>
        <w:rPr>
          <w:rFonts w:hint="eastAsia" w:ascii="宋体" w:hAnsi="宋体" w:eastAsia="宋体" w:cs="宋体"/>
          <w:b/>
          <w:color w:val="auto"/>
          <w:sz w:val="30"/>
          <w:szCs w:val="30"/>
          <w:highlight w:val="none"/>
        </w:rPr>
        <w:t>条   权利和义务</w:t>
      </w:r>
    </w:p>
    <w:p w14:paraId="6FE33300">
      <w:pPr>
        <w:widowControl/>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1．甲方应及时提供真实有效的项目信息，以便乙方及时开展目关工作。</w:t>
      </w:r>
    </w:p>
    <w:p w14:paraId="48EA0E44">
      <w:pPr>
        <w:widowControl/>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乙方提供的回迁分房服务与本合同约定不相符或不合格的，甲方有权要求乙方限期整改；乙方延期整改或整改不合格的，甲方有权单方终止本合同，本合同终止后甲方按照乙方实际验收合格工作量结算费用；甲方在向乙方支付结算费用前，甲方有权优先扣除因乙方行为给甲方造成的损失。</w:t>
      </w:r>
    </w:p>
    <w:p w14:paraId="13A090A2">
      <w:pPr>
        <w:widowControl/>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3．项目完成后按本协议约定及时向乙方支付服务费用。</w:t>
      </w:r>
    </w:p>
    <w:p w14:paraId="7EE4F862">
      <w:pPr>
        <w:spacing w:before="120" w:beforeLines="50" w:after="120" w:afterLines="50" w:line="360" w:lineRule="auto"/>
        <w:ind w:firstLine="301" w:firstLineChars="10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w:t>
      </w:r>
      <w:r>
        <w:rPr>
          <w:rFonts w:hint="eastAsia" w:ascii="宋体" w:hAnsi="宋体" w:cs="宋体"/>
          <w:b/>
          <w:color w:val="auto"/>
          <w:sz w:val="30"/>
          <w:szCs w:val="30"/>
          <w:highlight w:val="none"/>
          <w:lang w:val="en-US" w:eastAsia="zh-CN"/>
        </w:rPr>
        <w:t>七</w:t>
      </w:r>
      <w:r>
        <w:rPr>
          <w:rFonts w:hint="eastAsia" w:ascii="宋体" w:hAnsi="宋体" w:eastAsia="宋体" w:cs="宋体"/>
          <w:b/>
          <w:color w:val="auto"/>
          <w:sz w:val="30"/>
          <w:szCs w:val="30"/>
          <w:highlight w:val="none"/>
        </w:rPr>
        <w:t>条   免责条款</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B970E00">
      <w:pPr>
        <w:spacing w:line="480" w:lineRule="auto"/>
        <w:ind w:firstLine="420" w:firstLineChars="200"/>
        <w:rPr>
          <w:rFonts w:ascii="宋体" w:hAnsi="宋体" w:cs="宋体"/>
          <w:color w:val="auto"/>
          <w:szCs w:val="21"/>
          <w:highlight w:val="none"/>
        </w:rPr>
      </w:pPr>
      <w:bookmarkStart w:id="18" w:name="_Toc286993792"/>
      <w:bookmarkStart w:id="19" w:name="_Toc211911353"/>
      <w:bookmarkStart w:id="20" w:name="_Toc225244857"/>
      <w:bookmarkStart w:id="21" w:name="_Toc251768867"/>
      <w:bookmarkStart w:id="22" w:name="_Toc247334846"/>
      <w:bookmarkStart w:id="23" w:name="_Toc239568423"/>
      <w:bookmarkStart w:id="24" w:name="_Toc212019599"/>
      <w:bookmarkStart w:id="25" w:name="_Toc238984980"/>
      <w:bookmarkStart w:id="26" w:name="_Toc241833908"/>
      <w:bookmarkStart w:id="27" w:name="_Toc225654649"/>
      <w:bookmarkStart w:id="28" w:name="_Toc237145411"/>
      <w:bookmarkStart w:id="29" w:name="_Toc232492933"/>
      <w:bookmarkStart w:id="30" w:name="_Toc211854454"/>
      <w:bookmarkStart w:id="31" w:name="_Toc225670756"/>
      <w:bookmarkStart w:id="32" w:name="_Toc185395254"/>
      <w:bookmarkStart w:id="33" w:name="_Toc239233919"/>
      <w:r>
        <w:rPr>
          <w:rFonts w:hint="eastAsia" w:ascii="宋体" w:hAnsi="宋体" w:cs="宋体"/>
          <w:color w:val="auto"/>
          <w:szCs w:val="21"/>
          <w:highlight w:val="none"/>
        </w:rPr>
        <w:t>因发生乙方无法控制的情形造成乙方无法履行协议时，乙方不承担相关责任，该等情况包括但不限于以下情形：</w:t>
      </w:r>
    </w:p>
    <w:p w14:paraId="783572C6">
      <w:pPr>
        <w:spacing w:line="480" w:lineRule="auto"/>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.发生不可抗力时。</w:t>
      </w:r>
    </w:p>
    <w:p w14:paraId="3120CA14">
      <w:pPr>
        <w:spacing w:line="48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.甲方人员不按照本合同条款履行责任时，如资料或样品不能按照乙方要求提供时。</w:t>
      </w:r>
    </w:p>
    <w:p w14:paraId="73409B37">
      <w:pPr>
        <w:spacing w:line="48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.由于甲方原因致使乙方未能按协议规定完成服务而造成甲方蒙受任何损失或损害时。</w:t>
      </w:r>
    </w:p>
    <w:p w14:paraId="217A01B1">
      <w:pPr>
        <w:spacing w:before="120" w:beforeLines="50" w:after="120" w:afterLines="50" w:line="360" w:lineRule="auto"/>
        <w:ind w:firstLine="301" w:firstLineChars="10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w:t>
      </w:r>
      <w:r>
        <w:rPr>
          <w:rFonts w:hint="eastAsia" w:ascii="宋体" w:hAnsi="宋体" w:cs="宋体"/>
          <w:b/>
          <w:color w:val="auto"/>
          <w:sz w:val="30"/>
          <w:szCs w:val="30"/>
          <w:highlight w:val="none"/>
          <w:lang w:val="en-US" w:eastAsia="zh-CN"/>
        </w:rPr>
        <w:t>八</w:t>
      </w:r>
      <w:r>
        <w:rPr>
          <w:rFonts w:hint="eastAsia" w:ascii="宋体" w:hAnsi="宋体" w:eastAsia="宋体" w:cs="宋体"/>
          <w:b/>
          <w:color w:val="auto"/>
          <w:sz w:val="30"/>
          <w:szCs w:val="30"/>
          <w:highlight w:val="none"/>
        </w:rPr>
        <w:t xml:space="preserve">条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color w:val="auto"/>
          <w:sz w:val="30"/>
          <w:szCs w:val="30"/>
          <w:highlight w:val="none"/>
        </w:rPr>
        <w:t>争议解决办法</w:t>
      </w:r>
    </w:p>
    <w:p w14:paraId="0902856C">
      <w:pPr>
        <w:spacing w:line="480" w:lineRule="auto"/>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.双方应遵守合同规定，在合同履行过程中如未尽事宜，以双方友好协商而定。若协商不成，应向甲方所在地有管辖权的法院提起诉讼。</w:t>
      </w:r>
    </w:p>
    <w:p w14:paraId="43B207AC">
      <w:pPr>
        <w:spacing w:line="48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2.本合同一式</w:t>
      </w:r>
      <w:r>
        <w:rPr>
          <w:rFonts w:ascii="宋体" w:hAnsi="宋体" w:cs="宋体"/>
          <w:color w:val="auto"/>
          <w:szCs w:val="21"/>
          <w:highlight w:val="none"/>
        </w:rPr>
        <w:t xml:space="preserve">   </w:t>
      </w:r>
      <w:r>
        <w:rPr>
          <w:rFonts w:hint="eastAsia" w:ascii="宋体" w:hAnsi="宋体" w:cs="宋体"/>
          <w:color w:val="auto"/>
          <w:szCs w:val="21"/>
          <w:highlight w:val="none"/>
        </w:rPr>
        <w:t>份，双方各执</w:t>
      </w:r>
      <w:r>
        <w:rPr>
          <w:rFonts w:ascii="宋体" w:hAnsi="宋体" w:cs="宋体"/>
          <w:color w:val="auto"/>
          <w:szCs w:val="21"/>
          <w:highlight w:val="none"/>
        </w:rPr>
        <w:t xml:space="preserve"> </w:t>
      </w:r>
      <w:r>
        <w:rPr>
          <w:rFonts w:hint="eastAsia" w:ascii="宋体" w:hAnsi="宋体" w:cs="宋体"/>
          <w:color w:val="auto"/>
          <w:szCs w:val="21"/>
          <w:highlight w:val="non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份，经双方法人代表或法人代表代理人签字并加盖公章后生效，任何一方不得擅自涂改、变更或解除合同，双方履行完合同约定条款后，本合同即行终止。</w:t>
      </w:r>
    </w:p>
    <w:p w14:paraId="427A71E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甲    方：（盖章）</w:t>
      </w:r>
      <w:r>
        <w:rPr>
          <w:rFonts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 xml:space="preserve">   </w:t>
      </w:r>
      <w:r>
        <w:rPr>
          <w:rFonts w:hint="eastAsia" w:ascii="宋体" w:hAnsi="宋体"/>
          <w:color w:val="auto"/>
          <w:szCs w:val="21"/>
          <w:highlight w:val="none"/>
        </w:rPr>
        <w:t xml:space="preserve">    乙    方（盖章）</w:t>
      </w:r>
    </w:p>
    <w:p w14:paraId="501C5A8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法定代表人（委托代理人）：</w:t>
      </w:r>
      <w:r>
        <w:rPr>
          <w:rFonts w:ascii="宋体" w:hAnsi="宋体"/>
          <w:color w:val="auto"/>
          <w:szCs w:val="21"/>
          <w:highlight w:val="none"/>
        </w:rPr>
        <w:t xml:space="preserve">           </w:t>
      </w:r>
      <w:r>
        <w:rPr>
          <w:rFonts w:hint="eastAsia" w:ascii="宋体" w:hAnsi="宋体"/>
          <w:color w:val="auto"/>
          <w:szCs w:val="21"/>
          <w:highlight w:val="none"/>
        </w:rPr>
        <w:t xml:space="preserve">  法定代表人（委托代理人）：</w:t>
      </w:r>
    </w:p>
    <w:p w14:paraId="1F78B82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p>
    <w:p w14:paraId="6E07F2B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开户银行：</w:t>
      </w:r>
      <w:r>
        <w:rPr>
          <w:rFonts w:ascii="宋体" w:hAnsi="宋体"/>
          <w:color w:val="auto"/>
          <w:szCs w:val="21"/>
          <w:highlight w:val="none"/>
        </w:rPr>
        <w:t xml:space="preserve">                         </w:t>
      </w:r>
      <w:r>
        <w:rPr>
          <w:rFonts w:hint="eastAsia" w:ascii="宋体" w:hAnsi="宋体"/>
          <w:color w:val="auto"/>
          <w:szCs w:val="21"/>
          <w:highlight w:val="none"/>
        </w:rPr>
        <w:t xml:space="preserve">    开户银行：</w:t>
      </w:r>
    </w:p>
    <w:p w14:paraId="3246B04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    号：</w:t>
      </w:r>
      <w:r>
        <w:rPr>
          <w:rFonts w:ascii="宋体" w:hAnsi="宋体"/>
          <w:color w:val="auto"/>
          <w:szCs w:val="21"/>
          <w:highlight w:val="none"/>
        </w:rPr>
        <w:t xml:space="preserve">                            </w:t>
      </w:r>
      <w:r>
        <w:rPr>
          <w:rFonts w:hint="eastAsia" w:ascii="宋体" w:hAnsi="宋体"/>
          <w:color w:val="auto"/>
          <w:szCs w:val="21"/>
          <w:highlight w:val="none"/>
        </w:rPr>
        <w:t xml:space="preserve"> 账    号：</w:t>
      </w:r>
    </w:p>
    <w:p w14:paraId="2E1B8A0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电</w:t>
      </w:r>
      <w:r>
        <w:rPr>
          <w:rFonts w:ascii="宋体" w:hAnsi="宋体"/>
          <w:color w:val="auto"/>
          <w:szCs w:val="21"/>
          <w:highlight w:val="none"/>
        </w:rPr>
        <w:t xml:space="preserve">    </w:t>
      </w:r>
      <w:r>
        <w:rPr>
          <w:rFonts w:hint="eastAsia" w:ascii="宋体" w:hAnsi="宋体"/>
          <w:color w:val="auto"/>
          <w:szCs w:val="21"/>
          <w:highlight w:val="none"/>
        </w:rPr>
        <w:t>话：</w:t>
      </w:r>
      <w:r>
        <w:rPr>
          <w:rFonts w:ascii="宋体" w:hAnsi="宋体"/>
          <w:color w:val="auto"/>
          <w:szCs w:val="21"/>
          <w:highlight w:val="none"/>
        </w:rPr>
        <w:t xml:space="preserve">                         </w:t>
      </w:r>
      <w:r>
        <w:rPr>
          <w:rFonts w:hint="eastAsia" w:ascii="宋体" w:hAnsi="宋体"/>
          <w:color w:val="auto"/>
          <w:szCs w:val="21"/>
          <w:highlight w:val="none"/>
        </w:rPr>
        <w:t xml:space="preserve">    电</w:t>
      </w:r>
      <w:r>
        <w:rPr>
          <w:rFonts w:ascii="宋体" w:hAnsi="宋体"/>
          <w:color w:val="auto"/>
          <w:szCs w:val="21"/>
          <w:highlight w:val="none"/>
        </w:rPr>
        <w:t xml:space="preserve">    </w:t>
      </w:r>
      <w:r>
        <w:rPr>
          <w:rFonts w:hint="eastAsia" w:ascii="宋体" w:hAnsi="宋体"/>
          <w:color w:val="auto"/>
          <w:szCs w:val="21"/>
          <w:highlight w:val="none"/>
        </w:rPr>
        <w:t>话：</w:t>
      </w:r>
    </w:p>
    <w:p w14:paraId="16A3EDD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p>
    <w:p w14:paraId="5AEE6C9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签约日期：XX年XX月XX日</w:t>
      </w:r>
      <w:r>
        <w:rPr>
          <w:rFonts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hint="eastAsia" w:ascii="宋体" w:hAnsi="宋体"/>
          <w:color w:val="auto"/>
          <w:szCs w:val="21"/>
          <w:highlight w:val="none"/>
        </w:rPr>
        <w:t xml:space="preserve">   签约日期：XX年XX月XX日</w:t>
      </w:r>
    </w:p>
    <w:p w14:paraId="75E20A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C3BB0"/>
    <w:multiLevelType w:val="singleLevel"/>
    <w:tmpl w:val="CE6C3BB0"/>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YjJjNGJiZTkyYjYxNDczNWVkYzIwMzkzZDY3YTAifQ=="/>
  </w:docVars>
  <w:rsids>
    <w:rsidRoot w:val="72C729F4"/>
    <w:rsid w:val="65A31DEF"/>
    <w:rsid w:val="72C72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 首行缩进:  2 字符"/>
    <w:basedOn w:val="1"/>
    <w:qFormat/>
    <w:uiPriority w:val="0"/>
    <w:pPr>
      <w:spacing w:line="400" w:lineRule="exact"/>
      <w:ind w:firstLine="200" w:firstLineChars="200"/>
    </w:pPr>
    <w:rPr>
      <w:rFonts w:cs="宋体"/>
      <w:sz w:val="24"/>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2024-12-02T03:53:00Z</dcterms:created>
  <dc:creator>admin</dc:creator>
  <cp:lastModifiedBy>admin</cp:lastModifiedBy>
  <dcterms:modified xsi:type="dcterms:W3CDTF">2024-12-02T03:58:59Z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C3153E65B5754A8C94FFBBA7E0611A9D_11</vt:lpwstr>
  </property>
</Properties>
</file>