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版本号：241224001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回迁安置小区车位分配服务项目</w:t>
      </w:r>
    </w:p>
    <w:p>
      <w:pPr>
        <w:pStyle w:val="null3"/>
        <w:jc w:val="center"/>
        <w:outlineLvl w:val="2"/>
      </w:pPr>
      <w:r>
        <w:rPr>
          <w:sz w:val="28"/>
          <w:b/>
        </w:rPr>
        <w:t>采购项目编号：</w:t>
      </w:r>
      <w:r>
        <w:rPr>
          <w:sz w:val="28"/>
          <w:b/>
        </w:rPr>
        <w:t>GWZC-2024-214</w:t>
      </w:r>
      <w:r>
        <w:br/>
      </w:r>
      <w:r>
        <w:br/>
      </w:r>
      <w:r>
        <w:br/>
      </w:r>
    </w:p>
    <w:p>
      <w:pPr>
        <w:pStyle w:val="null3"/>
        <w:jc w:val="center"/>
        <w:outlineLvl w:val="2"/>
      </w:pPr>
      <w:r>
        <w:rPr>
          <w:sz w:val="28"/>
          <w:b/>
        </w:rPr>
        <w:t>新筑街道办事处</w:t>
      </w:r>
    </w:p>
    <w:p>
      <w:pPr>
        <w:pStyle w:val="null3"/>
        <w:jc w:val="center"/>
        <w:outlineLvl w:val="2"/>
      </w:pPr>
      <w:r>
        <w:rPr>
          <w:sz w:val="28"/>
          <w:b/>
        </w:rPr>
        <w:t>陕西蒿天项目管理有限公司</w:t>
      </w:r>
      <w:r>
        <w:rPr>
          <w:sz w:val="28"/>
          <w:b/>
        </w:rPr>
        <w:t>共同编制</w:t>
      </w:r>
    </w:p>
    <w:p>
      <w:pPr>
        <w:pStyle w:val="null3"/>
        <w:jc w:val="center"/>
        <w:outlineLvl w:val="2"/>
      </w:pPr>
      <w:r>
        <w:rPr>
          <w:sz w:val="28"/>
          <w:b/>
        </w:rPr>
        <w:t>2024年12月24日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陕西蒿天项目管理有限公司</w:t>
      </w:r>
      <w:r>
        <w:rPr/>
        <w:t>（以下简称“代理机构”）受</w:t>
      </w:r>
      <w:r>
        <w:rPr/>
        <w:t>新筑街道办事处</w:t>
      </w:r>
      <w:r>
        <w:rPr/>
        <w:t>委托，拟对</w:t>
      </w:r>
      <w:r>
        <w:rPr/>
        <w:t>回迁安置小区车位分配服务项目</w:t>
      </w:r>
      <w:r>
        <w:rPr/>
        <w:t>采用竞争性磋商采购方式进行采购，兹邀请供应商参加本项目的竞争性磋商。</w:t>
      </w:r>
    </w:p>
    <w:p>
      <w:pPr>
        <w:pStyle w:val="null3"/>
        <w:outlineLvl w:val="2"/>
      </w:pPr>
      <w:r>
        <w:rPr>
          <w:sz w:val="28"/>
          <w:b/>
        </w:rPr>
        <w:t>一、项目编号：</w:t>
      </w:r>
      <w:r>
        <w:rPr>
          <w:sz w:val="28"/>
          <w:b/>
        </w:rPr>
        <w:t>GWZC-2024-214</w:t>
      </w:r>
    </w:p>
    <w:p>
      <w:pPr>
        <w:pStyle w:val="null3"/>
        <w:outlineLvl w:val="2"/>
      </w:pPr>
      <w:r>
        <w:rPr>
          <w:sz w:val="28"/>
          <w:b/>
        </w:rPr>
        <w:t>二、项目名称：</w:t>
      </w:r>
      <w:r>
        <w:rPr>
          <w:sz w:val="28"/>
          <w:b/>
        </w:rPr>
        <w:t>回迁安置小区车位分配服务项目</w:t>
      </w:r>
    </w:p>
    <w:p>
      <w:pPr>
        <w:pStyle w:val="null3"/>
        <w:outlineLvl w:val="2"/>
      </w:pPr>
      <w:r>
        <w:rPr>
          <w:sz w:val="28"/>
          <w:b/>
        </w:rPr>
        <w:t>三、磋商项目简介</w:t>
      </w:r>
    </w:p>
    <w:p>
      <w:pPr>
        <w:pStyle w:val="null3"/>
        <w:ind w:firstLine="480"/>
      </w:pPr>
      <w:r>
        <w:rPr/>
        <w:t>对秦汉和苑、新陆新居、杏园新居等3个回迁安置小区车位分配工作。</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采购包1（回迁安置小区车位分配服务项目）：属于专门面向中小企业采购。</w:t>
      </w:r>
    </w:p>
    <w:p>
      <w:pPr>
        <w:pStyle w:val="null3"/>
        <w:ind w:firstLine="480"/>
      </w:pPr>
      <w:r>
        <w:rPr/>
        <w:t>（三）本项目的特定资格要求：</w:t>
      </w:r>
    </w:p>
    <w:p>
      <w:pPr>
        <w:pStyle w:val="null3"/>
      </w:pPr>
      <w:r>
        <w:rPr/>
        <w:t>采购包1：</w:t>
      </w:r>
    </w:p>
    <w:p>
      <w:pPr>
        <w:pStyle w:val="null3"/>
      </w:pPr>
      <w:r>
        <w:rPr/>
        <w:t>1、法定代表人授权书/法定代表人身份证明：法定代表人授权书（附法定代表人、被授权人身份证复印件），法定代表人直接参加磋商，须提供法定代表人身份证明。</w:t>
      </w:r>
    </w:p>
    <w:p>
      <w:pPr>
        <w:pStyle w:val="null3"/>
      </w:pPr>
      <w:r>
        <w:rPr/>
        <w:t>2、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t>3、联合体：本项目不接受联合体磋商；</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新筑街道办事处</w:t>
      </w:r>
    </w:p>
    <w:p>
      <w:pPr>
        <w:pStyle w:val="null3"/>
      </w:pPr>
      <w:r>
        <w:rPr/>
        <w:t xml:space="preserve"> 地址： </w:t>
      </w:r>
      <w:r>
        <w:rPr/>
        <w:t>陕西省西安市灞桥区港兴三路与和畅路交叉口西北角</w:t>
      </w:r>
    </w:p>
    <w:p>
      <w:pPr>
        <w:pStyle w:val="null3"/>
      </w:pPr>
      <w:r>
        <w:rPr/>
        <w:t xml:space="preserve"> 邮编： </w:t>
      </w:r>
      <w:r>
        <w:rPr/>
        <w:t>710026</w:t>
      </w:r>
    </w:p>
    <w:p>
      <w:pPr>
        <w:pStyle w:val="null3"/>
      </w:pPr>
      <w:r>
        <w:rPr/>
        <w:t xml:space="preserve"> 联系人： </w:t>
      </w:r>
      <w:r>
        <w:rPr/>
        <w:t>陶老师</w:t>
      </w:r>
    </w:p>
    <w:p>
      <w:pPr>
        <w:pStyle w:val="null3"/>
      </w:pPr>
      <w:r>
        <w:rPr/>
        <w:t xml:space="preserve"> 联系电话： </w:t>
      </w:r>
      <w:r>
        <w:rPr/>
        <w:t>029-83346950</w:t>
      </w:r>
    </w:p>
    <w:p>
      <w:pPr>
        <w:pStyle w:val="null3"/>
        <w:outlineLvl w:val="3"/>
      </w:pPr>
      <w:r>
        <w:rPr>
          <w:sz w:val="24"/>
          <w:b/>
        </w:rPr>
        <w:t>代理机构：</w:t>
      </w:r>
      <w:r>
        <w:rPr>
          <w:sz w:val="24"/>
          <w:b/>
        </w:rPr>
        <w:t>陕西蒿天项目管理有限公司</w:t>
      </w:r>
    </w:p>
    <w:p>
      <w:pPr>
        <w:pStyle w:val="null3"/>
      </w:pPr>
      <w:r>
        <w:rPr/>
        <w:t xml:space="preserve"> 地址： </w:t>
      </w:r>
      <w:r>
        <w:rPr/>
        <w:t>西安市未央区未央路104号二层</w:t>
      </w:r>
    </w:p>
    <w:p>
      <w:pPr>
        <w:pStyle w:val="null3"/>
      </w:pPr>
      <w:r>
        <w:rPr/>
        <w:t xml:space="preserve"> 邮编： </w:t>
      </w:r>
      <w:r>
        <w:rPr/>
        <w:t>710016</w:t>
      </w:r>
    </w:p>
    <w:p>
      <w:pPr>
        <w:pStyle w:val="null3"/>
      </w:pPr>
      <w:r>
        <w:rPr/>
        <w:t xml:space="preserve"> 联系人： </w:t>
      </w:r>
      <w:r>
        <w:rPr/>
        <w:t>尚顺谱、林锡之</w:t>
      </w:r>
    </w:p>
    <w:p>
      <w:pPr>
        <w:pStyle w:val="null3"/>
      </w:pPr>
      <w:r>
        <w:rPr/>
        <w:t xml:space="preserve"> 联系电话： </w:t>
      </w:r>
      <w:r>
        <w:rPr/>
        <w:t>029-81612268</w:t>
      </w:r>
    </w:p>
    <w:p>
      <w:pPr>
        <w:pStyle w:val="null3"/>
        <w:outlineLvl w:val="3"/>
      </w:pPr>
      <w:r>
        <w:rPr>
          <w:sz w:val="24"/>
          <w:b/>
        </w:rPr>
        <w:t>采购监督机构：</w:t>
      </w:r>
      <w:r>
        <w:rPr>
          <w:sz w:val="24"/>
          <w:b/>
        </w:rPr>
        <w:t>西安国际港务区管理委员会政府采购管理股</w:t>
      </w:r>
    </w:p>
    <w:p>
      <w:pPr>
        <w:pStyle w:val="null3"/>
        <w:ind w:firstLine="480"/>
      </w:pPr>
      <w:r>
        <w:rPr/>
        <w:t>联系人：</w:t>
      </w:r>
      <w:r>
        <w:rPr/>
        <w:t>马重霄</w:t>
      </w:r>
    </w:p>
    <w:p>
      <w:pPr>
        <w:pStyle w:val="null3"/>
        <w:ind w:firstLine="480"/>
      </w:pPr>
      <w:r>
        <w:rPr/>
        <w:t>联系电话：</w:t>
      </w:r>
      <w:r>
        <w:rPr/>
        <w:t>029-83332439</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采购包1：480,000.00元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颁发的《招标代理服务收费管理暂行办法》（计价格[2002]1980号）、国家发展和改革委员会办公厅颁发的《关于招标代理服务收费有关问题的通知》（发改办价格[2003]857号）的有关规定执行。</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新筑街道办事处</w:t>
      </w:r>
      <w:r>
        <w:rPr/>
        <w:t>和</w:t>
      </w:r>
      <w:r>
        <w:rPr/>
        <w:t>陕西蒿天项目管理有限公司</w:t>
      </w:r>
      <w:r>
        <w:rPr/>
        <w:t>享有。对磋商文件中供应商参加本次政府采购活动应当具备的条件，磋商项目技术、服务、商务及其他要求，评审细则及标准由</w:t>
      </w:r>
      <w:r>
        <w:rPr/>
        <w:t>新筑街道办事处</w:t>
      </w:r>
      <w:r>
        <w:rPr/>
        <w:t>负责解释。除上述磋商文件内容，其他内容由</w:t>
      </w:r>
      <w:r>
        <w:rPr/>
        <w:t>陕西蒿天项目管理有限公司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新筑街道办事处</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陕西蒿天项目管理有限公司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符合国家、行业相关法律法规及采购人需求</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陕西蒿天项目管理有限公司</w:t>
      </w:r>
      <w:r>
        <w:rPr/>
        <w:t xml:space="preserve"> 负责答复；供应商对除采购需求外的采购文件的询问、质疑由</w:t>
      </w:r>
      <w:r>
        <w:rPr/>
        <w:t>陕西蒿天项目管理有限公司</w:t>
      </w:r>
      <w:r>
        <w:rPr/>
        <w:t xml:space="preserve"> 负责答复；供应商对采购过程、采购结果的询问、质疑由 </w:t>
      </w:r>
      <w:r>
        <w:rPr/>
        <w:t>陕西蒿天项目管理有限公司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联系人：尚顺谱、林锡之</w:t>
      </w:r>
    </w:p>
    <w:p>
      <w:pPr>
        <w:pStyle w:val="null3"/>
      </w:pPr>
      <w:r>
        <w:rPr/>
        <w:t>联系电话：029-81612268</w:t>
      </w:r>
    </w:p>
    <w:p>
      <w:pPr>
        <w:pStyle w:val="null3"/>
      </w:pPr>
      <w:r>
        <w:rPr/>
        <w:t>地址：西安市未央区未央路104号二层</w:t>
      </w:r>
    </w:p>
    <w:p>
      <w:pPr>
        <w:pStyle w:val="null3"/>
      </w:pPr>
      <w:r>
        <w:rPr/>
        <w:t>邮编：710016</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对秦汉和苑、新陆新居、杏园新居等3个回迁安置小区车位分配工作。</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480,000.00</w:t>
      </w:r>
    </w:p>
    <w:p>
      <w:pPr>
        <w:pStyle w:val="null3"/>
      </w:pPr>
      <w:r>
        <w:rPr/>
        <w:t>采购包最高限价（元）: 480,000.00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回迁安置小区车位分配服务项目</w:t>
            </w:r>
          </w:p>
        </w:tc>
        <w:tc>
          <w:tcPr>
            <w:tcW w:type="dxa" w:w="831"/>
          </w:tcPr>
          <w:p>
            <w:pPr>
              <w:pStyle w:val="null3"/>
              <w:jc w:val="right"/>
            </w:pPr>
            <w:r>
              <w:rPr/>
              <w:t>1.00</w:t>
            </w:r>
          </w:p>
        </w:tc>
        <w:tc>
          <w:tcPr>
            <w:tcW w:type="dxa" w:w="831"/>
          </w:tcPr>
          <w:p>
            <w:pPr>
              <w:pStyle w:val="null3"/>
              <w:jc w:val="right"/>
            </w:pPr>
            <w:r>
              <w:rPr/>
              <w:t>480,000.00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标的名称：回迁安置小区车位分配服务项目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80"/>
              <w:jc w:val="both"/>
            </w:pPr>
            <w:r>
              <w:rPr/>
              <w:t>一、项目要求</w:t>
            </w:r>
          </w:p>
          <w:p>
            <w:pPr>
              <w:pStyle w:val="null3"/>
            </w:pPr>
            <w:r>
              <w:rPr/>
              <w:t>1.服务地点：采购人指定地点。</w:t>
            </w:r>
          </w:p>
          <w:p>
            <w:pPr>
              <w:pStyle w:val="null3"/>
            </w:pPr>
            <w:r>
              <w:rPr/>
              <w:t>2.服务期限：合同签订后，分配车位工作开展之日起，具体时间以甲方通知为准，每个回迁小区车位分配服务期不超过30天。</w:t>
            </w:r>
          </w:p>
          <w:p>
            <w:pPr>
              <w:pStyle w:val="null3"/>
            </w:pPr>
            <w:r>
              <w:rPr/>
              <w:t>3.成交供应商不得将项目转包或分包给第三方。</w:t>
            </w:r>
          </w:p>
          <w:p>
            <w:pPr>
              <w:pStyle w:val="null3"/>
            </w:pPr>
            <w:r>
              <w:rPr/>
              <w:t>4.付款方式：</w:t>
            </w:r>
          </w:p>
          <w:p>
            <w:pPr>
              <w:pStyle w:val="null3"/>
            </w:pPr>
            <w:r>
              <w:rPr/>
              <w:t>（1）分阶段进行支付：乙方按照要求，每完成一个回迁小区车位分配的服务内容并验收合格后，甲方支付该部分合同价款，达到付款条件起30日内，支付该部分合同金额的100.00%。</w:t>
            </w:r>
          </w:p>
          <w:p>
            <w:pPr>
              <w:pStyle w:val="null3"/>
            </w:pPr>
            <w:r>
              <w:rPr/>
              <w:t>（2）付款依据：甲方根据乙方出具的确认后的资料报告，乙方提供的等额增值税普通发票。</w:t>
            </w:r>
          </w:p>
        </w:tc>
      </w:tr>
      <w:tr>
        <w:tc>
          <w:tcPr>
            <w:tcW w:type="dxa" w:w="2769"/>
          </w:tcPr>
          <w:p>
            <w:pPr>
              <w:pStyle w:val="null3"/>
            </w:pPr>
            <w:r>
              <w:rPr/>
              <w:t>★</w:t>
            </w:r>
          </w:p>
        </w:tc>
        <w:tc>
          <w:tcPr>
            <w:tcW w:type="dxa" w:w="2769"/>
          </w:tcPr>
          <w:p>
            <w:pPr>
              <w:pStyle w:val="null3"/>
            </w:pPr>
            <w:r>
              <w:rPr/>
              <w:t>2</w:t>
            </w:r>
          </w:p>
        </w:tc>
        <w:tc>
          <w:tcPr>
            <w:tcW w:type="dxa" w:w="2769"/>
          </w:tcPr>
          <w:p>
            <w:pPr>
              <w:pStyle w:val="null3"/>
              <w:ind w:firstLine="480"/>
              <w:jc w:val="both"/>
            </w:pPr>
            <w:r>
              <w:rPr/>
              <w:t>二、服务内容</w:t>
            </w:r>
          </w:p>
          <w:p>
            <w:pPr>
              <w:pStyle w:val="null3"/>
            </w:pPr>
            <w:r>
              <w:rPr/>
              <w:t>包括车位分配方案制定及实施、数据服务、信息化服务、活动现场影像记录、资料整理等内容</w:t>
            </w:r>
          </w:p>
          <w:p>
            <w:pPr>
              <w:pStyle w:val="null3"/>
            </w:pPr>
            <w:r>
              <w:rPr/>
              <w:t>（一）方案及实施</w:t>
            </w:r>
          </w:p>
          <w:p>
            <w:pPr>
              <w:pStyle w:val="null3"/>
            </w:pPr>
            <w:r>
              <w:rPr/>
              <w:t>1．方案拟定</w:t>
            </w:r>
          </w:p>
          <w:p>
            <w:pPr>
              <w:pStyle w:val="null3"/>
            </w:pPr>
            <w:r>
              <w:rPr/>
              <w:t>结合项目实际情况、现行法律政策等拟定车位调拨分配方案、车位选择实施方案。</w:t>
            </w:r>
          </w:p>
          <w:p>
            <w:pPr>
              <w:pStyle w:val="null3"/>
            </w:pPr>
            <w:r>
              <w:rPr/>
              <w:t>2．现场实施</w:t>
            </w:r>
          </w:p>
          <w:p>
            <w:pPr>
              <w:pStyle w:val="null3"/>
            </w:pPr>
            <w:r>
              <w:rPr/>
              <w:t>按照指定时间周期制定车位选择现场实施计划方案，按计划时间完成如下事项：</w:t>
            </w:r>
          </w:p>
          <w:p>
            <w:pPr>
              <w:pStyle w:val="null3"/>
            </w:pPr>
            <w:r>
              <w:rPr/>
              <w:t>（1）活动场地勘察、测量、设计及搭建相关工作；</w:t>
            </w:r>
          </w:p>
          <w:p>
            <w:pPr>
              <w:pStyle w:val="null3"/>
            </w:pPr>
            <w:r>
              <w:rPr/>
              <w:t>（2）活动现场办公环境布置及物料保障相关工作；</w:t>
            </w:r>
          </w:p>
          <w:p>
            <w:pPr>
              <w:pStyle w:val="null3"/>
            </w:pPr>
            <w:r>
              <w:rPr/>
              <w:t>（3）组织车位选择活动并按要求完成车位选择及手续办理相关事宜；</w:t>
            </w:r>
          </w:p>
          <w:p>
            <w:pPr>
              <w:pStyle w:val="null3"/>
            </w:pPr>
            <w:r>
              <w:rPr/>
              <w:t>（4）活动现场秩序维护及现场管理工作；</w:t>
            </w:r>
          </w:p>
          <w:p>
            <w:pPr>
              <w:pStyle w:val="null3"/>
            </w:pPr>
            <w:r>
              <w:rPr/>
              <w:t>（5）车位选择活动结束后，场地清理及撤场相关工作；</w:t>
            </w:r>
          </w:p>
          <w:p>
            <w:pPr>
              <w:pStyle w:val="null3"/>
            </w:pPr>
            <w:r>
              <w:rPr/>
              <w:t>（6）合同约定的其他事项。</w:t>
            </w:r>
          </w:p>
          <w:p>
            <w:pPr>
              <w:pStyle w:val="null3"/>
            </w:pPr>
            <w:r>
              <w:rPr/>
              <w:t>（二）数据服务</w:t>
            </w:r>
          </w:p>
          <w:p>
            <w:pPr>
              <w:pStyle w:val="null3"/>
            </w:pPr>
            <w:r>
              <w:rPr/>
              <w:t>1．被征收人数据</w:t>
            </w:r>
          </w:p>
          <w:p>
            <w:pPr>
              <w:pStyle w:val="null3"/>
            </w:pPr>
            <w:r>
              <w:rPr/>
              <w:t>完成本次车位选择被征收人数据整理、核对，最终需要导入信息化系统用于现场车位选择实施。</w:t>
            </w:r>
          </w:p>
          <w:p>
            <w:pPr>
              <w:pStyle w:val="null3"/>
            </w:pPr>
            <w:r>
              <w:rPr/>
              <w:t>2．回迁车位数据</w:t>
            </w:r>
          </w:p>
          <w:p>
            <w:pPr>
              <w:pStyle w:val="null3"/>
            </w:pPr>
            <w:r>
              <w:rPr/>
              <w:t>完成本次车位选择车位需求信息整理、核对，最终需要导入信息化系统用于现场车位选择实施。</w:t>
            </w:r>
          </w:p>
          <w:p>
            <w:pPr>
              <w:pStyle w:val="null3"/>
            </w:pPr>
            <w:r>
              <w:rPr/>
              <w:t>3．回迁车位地图优化及绘制</w:t>
            </w:r>
          </w:p>
          <w:p>
            <w:pPr>
              <w:pStyle w:val="null3"/>
            </w:pPr>
            <w:r>
              <w:rPr/>
              <w:t>按照回迁车位规划设计图纸和车位实际建设情况，进行车位地图优化及绘制，最终结果需要满足车位选择实施需要。</w:t>
            </w:r>
          </w:p>
          <w:p>
            <w:pPr>
              <w:pStyle w:val="null3"/>
            </w:pPr>
            <w:r>
              <w:rPr/>
              <w:t>（三）信息化服务</w:t>
            </w:r>
          </w:p>
          <w:p>
            <w:pPr>
              <w:pStyle w:val="null3"/>
            </w:pPr>
            <w:r>
              <w:rPr/>
              <w:t>1．软件系统要求</w:t>
            </w:r>
          </w:p>
          <w:p>
            <w:pPr>
              <w:pStyle w:val="null3"/>
            </w:pPr>
            <w:r>
              <w:rPr/>
              <w:t>（1）系统功能要求</w:t>
            </w:r>
          </w:p>
          <w:p>
            <w:pPr>
              <w:pStyle w:val="null3"/>
            </w:pPr>
            <w:r>
              <w:rPr/>
              <w:t>被征收人信息管理</w:t>
            </w:r>
          </w:p>
          <w:p>
            <w:pPr>
              <w:pStyle w:val="null3"/>
            </w:pPr>
            <w:r>
              <w:rPr/>
              <w:t>系统需要具备被征收人信息管理功能，能够满足回迁车位选择需求。</w:t>
            </w:r>
          </w:p>
          <w:p>
            <w:pPr>
              <w:pStyle w:val="null3"/>
            </w:pPr>
            <w:r>
              <w:rPr/>
              <w:t>车位信息管理</w:t>
            </w:r>
          </w:p>
          <w:p>
            <w:pPr>
              <w:pStyle w:val="null3"/>
            </w:pPr>
            <w:r>
              <w:rPr/>
              <w:t>系统需要具备车位信息管理功能，能够在线管理和查看车位信息。</w:t>
            </w:r>
          </w:p>
          <w:p>
            <w:pPr>
              <w:pStyle w:val="null3"/>
            </w:pPr>
            <w:r>
              <w:rPr/>
              <w:t>车位选择业务管理</w:t>
            </w:r>
          </w:p>
          <w:p>
            <w:pPr>
              <w:pStyle w:val="null3"/>
            </w:pPr>
            <w:r>
              <w:rPr/>
              <w:t>系统需要具备在线车位选择功能，且能够实现现场选择车位和打印单据等功能。</w:t>
            </w:r>
          </w:p>
          <w:p>
            <w:pPr>
              <w:pStyle w:val="null3"/>
            </w:pPr>
            <w:r>
              <w:rPr/>
              <w:t>数据管理</w:t>
            </w:r>
          </w:p>
          <w:p>
            <w:pPr>
              <w:pStyle w:val="null3"/>
            </w:pPr>
            <w:r>
              <w:rPr/>
              <w:t>系统需要数据统计功能，能够实时查看车位选择情况，且支持导出。</w:t>
            </w:r>
          </w:p>
          <w:p>
            <w:pPr>
              <w:pStyle w:val="null3"/>
            </w:pPr>
            <w:r>
              <w:rPr/>
              <w:t>（2）技术要求</w:t>
            </w:r>
          </w:p>
          <w:p>
            <w:pPr>
              <w:pStyle w:val="null3"/>
            </w:pPr>
            <w:r>
              <w:rPr/>
              <w:t>1)性能需求</w:t>
            </w:r>
          </w:p>
          <w:p>
            <w:pPr>
              <w:pStyle w:val="null3"/>
            </w:pPr>
            <w:r>
              <w:rPr/>
              <w:t>在线用户数：允许最大在线用户数在500以上。</w:t>
            </w:r>
          </w:p>
          <w:p>
            <w:pPr>
              <w:pStyle w:val="null3"/>
            </w:pPr>
            <w:r>
              <w:rPr/>
              <w:t>并发用户数：最大并发数要在150。</w:t>
            </w:r>
          </w:p>
          <w:p>
            <w:pPr>
              <w:pStyle w:val="null3"/>
            </w:pPr>
            <w:r>
              <w:rPr/>
              <w:t><![CDATA[响应时间：持续并发，业务操作平均响应时间<=3s，复杂操作平均响应时间<=8s，错误率<0.1%；疲劳压测，业务操作平均响应时间<=3s，复杂操作平均响应时间<=8s，错误率<0.1%。]]></w:t>
            </w:r>
          </w:p>
          <w:p>
            <w:pPr>
              <w:pStyle w:val="null3"/>
            </w:pPr>
            <w:r>
              <w:rPr/>
              <w:t>访问速度：每笔业务的响应时间在1秒以内。登录要求响应时间在2秒以内。</w:t>
            </w:r>
          </w:p>
          <w:p>
            <w:pPr>
              <w:pStyle w:val="null3"/>
            </w:pPr>
            <w:r>
              <w:rPr/>
              <w:t>可靠性：确保服务器和硬盘的冗余备份，当出现故障后，自动切换到备用机器。</w:t>
            </w:r>
          </w:p>
          <w:p>
            <w:pPr>
              <w:pStyle w:val="null3"/>
            </w:pPr>
            <w:r>
              <w:rPr/>
              <w:t>2)安全需求</w:t>
            </w:r>
          </w:p>
          <w:p>
            <w:pPr>
              <w:pStyle w:val="null3"/>
            </w:pPr>
            <w:r>
              <w:rPr/>
              <w:t>根据GB/T 22080-2016/ISO/IEC 27001：2013，所开发系统要符合信息安全管理体系。具备统一完善的多级安全机制设置，符合国家安全及保密部门要求，拒绝非法用户和合法用户越权操作，避免系统数据遭到破坏，防止系统数据被窃取和篡改，对于关键信息使用加密传输，传输的数据文件提供不可抵赖性确认。另外，执行以下保护措施，保证系统的安全性：</w:t>
            </w:r>
          </w:p>
          <w:p>
            <w:pPr>
              <w:pStyle w:val="null3"/>
            </w:pPr>
            <w:r>
              <w:rPr/>
              <w:t>MD5 加密用户密码</w:t>
            </w:r>
          </w:p>
          <w:p>
            <w:pPr>
              <w:pStyle w:val="null3"/>
            </w:pPr>
            <w:r>
              <w:rPr/>
              <w:t>COOKIES加密</w:t>
            </w:r>
          </w:p>
          <w:p>
            <w:pPr>
              <w:pStyle w:val="null3"/>
            </w:pPr>
            <w:r>
              <w:rPr/>
              <w:t>SQL注入防护</w:t>
            </w:r>
          </w:p>
          <w:p>
            <w:pPr>
              <w:pStyle w:val="null3"/>
            </w:pPr>
            <w:r>
              <w:rPr/>
              <w:t>2．系统操作培训</w:t>
            </w:r>
          </w:p>
          <w:p>
            <w:pPr>
              <w:pStyle w:val="null3"/>
            </w:pPr>
            <w:r>
              <w:rPr/>
              <w:t>提供系统操作培训服务及相应操作文档。</w:t>
            </w:r>
          </w:p>
          <w:p>
            <w:pPr>
              <w:pStyle w:val="null3"/>
            </w:pPr>
            <w:r>
              <w:rPr/>
              <w:t>3．驻场运维服务</w:t>
            </w:r>
          </w:p>
          <w:p>
            <w:pPr>
              <w:pStyle w:val="null3"/>
            </w:pPr>
            <w:r>
              <w:rPr/>
              <w:t>驻场提供系统运维服务，确保系统正常运行。</w:t>
            </w:r>
          </w:p>
          <w:p>
            <w:pPr>
              <w:pStyle w:val="null3"/>
            </w:pPr>
            <w:r>
              <w:rPr/>
              <w:t>4．现场实施硬件提供及维护服务</w:t>
            </w:r>
          </w:p>
          <w:p>
            <w:pPr>
              <w:pStyle w:val="null3"/>
            </w:pPr>
            <w:r>
              <w:rPr/>
              <w:t>提供车位选择实施现场硬件，包括但不限于普通打印机、针式打印机、显示器、网络摄像头、办公电脑等，并提供现场运维服务。</w:t>
            </w:r>
          </w:p>
          <w:p>
            <w:pPr>
              <w:pStyle w:val="null3"/>
            </w:pPr>
            <w:r>
              <w:rPr/>
              <w:t>（四）其他服务</w:t>
            </w:r>
          </w:p>
          <w:p>
            <w:pPr>
              <w:pStyle w:val="null3"/>
            </w:pPr>
            <w:r>
              <w:rPr/>
              <w:t>1．活动现场影像记录</w:t>
            </w:r>
          </w:p>
          <w:p>
            <w:pPr>
              <w:pStyle w:val="null3"/>
            </w:pPr>
            <w:r>
              <w:rPr/>
              <w:t>在本次车位选择过程中，需全程记录活动现场各个区域影像资料，最终以视频资料方式提交。</w:t>
            </w:r>
          </w:p>
        </w:tc>
      </w:tr>
      <w:tr>
        <w:tc>
          <w:tcPr>
            <w:tcW w:type="dxa" w:w="2769"/>
          </w:tcPr>
          <w:p>
            <w:pPr>
              <w:pStyle w:val="null3"/>
            </w:pPr>
            <w:r>
              <w:rPr/>
              <w:t>★</w:t>
            </w:r>
          </w:p>
        </w:tc>
        <w:tc>
          <w:tcPr>
            <w:tcW w:type="dxa" w:w="2769"/>
          </w:tcPr>
          <w:p>
            <w:pPr>
              <w:pStyle w:val="null3"/>
            </w:pPr>
            <w:r>
              <w:rPr/>
              <w:t>3</w:t>
            </w:r>
          </w:p>
        </w:tc>
        <w:tc>
          <w:tcPr>
            <w:tcW w:type="dxa" w:w="2769"/>
          </w:tcPr>
          <w:p>
            <w:pPr>
              <w:pStyle w:val="null3"/>
              <w:ind w:firstLine="480"/>
            </w:pPr>
            <w:r>
              <w:rPr/>
              <w:t>三、服务要求</w:t>
            </w:r>
          </w:p>
          <w:p>
            <w:pPr>
              <w:pStyle w:val="null3"/>
            </w:pPr>
            <w:r>
              <w:rPr/>
              <w:t>分配车位工作应遵循国家相关政策、法律法规，不得发生违法、违规事件，不能因行为不当引起纠纷投诉。</w:t>
            </w:r>
          </w:p>
        </w:tc>
      </w:tr>
    </w:tbl>
    <w:p>
      <w:pPr>
        <w:pStyle w:val="null3"/>
        <w:outlineLvl w:val="2"/>
      </w:pPr>
      <w:r>
        <w:rPr>
          <w:sz w:val="28"/>
          <w:b/>
        </w:rPr>
        <w:t>3.2.3人员配置要求</w:t>
      </w:r>
    </w:p>
    <w:p>
      <w:pPr>
        <w:pStyle w:val="null3"/>
      </w:pPr>
      <w:r>
        <w:rPr/>
        <w:t>采购包1：</w:t>
      </w:r>
    </w:p>
    <w:p>
      <w:pPr>
        <w:pStyle w:val="null3"/>
      </w:pPr>
      <w:r>
        <w:rPr/>
        <w:t>供应商根据服务要求自行响应</w:t>
      </w:r>
    </w:p>
    <w:p>
      <w:pPr>
        <w:pStyle w:val="null3"/>
        <w:outlineLvl w:val="2"/>
      </w:pPr>
      <w:r>
        <w:rPr>
          <w:sz w:val="28"/>
          <w:b/>
        </w:rPr>
        <w:t>3.2.4设施设备要求</w:t>
      </w:r>
    </w:p>
    <w:p>
      <w:pPr>
        <w:pStyle w:val="null3"/>
      </w:pPr>
      <w:r>
        <w:rPr/>
        <w:t>采购包1：</w:t>
      </w:r>
    </w:p>
    <w:p>
      <w:pPr>
        <w:pStyle w:val="null3"/>
      </w:pPr>
      <w:r>
        <w:rPr/>
        <w:t>供应商根据服务要求自行响应</w:t>
      </w:r>
    </w:p>
    <w:p>
      <w:pPr>
        <w:pStyle w:val="null3"/>
        <w:outlineLvl w:val="2"/>
      </w:pPr>
      <w:r>
        <w:rPr>
          <w:sz w:val="28"/>
          <w:b/>
        </w:rPr>
        <w:t>3.2.5其他要求</w:t>
      </w:r>
    </w:p>
    <w:p>
      <w:pPr>
        <w:pStyle w:val="null3"/>
      </w:pPr>
      <w:r>
        <w:rPr/>
        <w:t>采购包1：</w:t>
      </w:r>
    </w:p>
    <w:p>
      <w:pPr>
        <w:pStyle w:val="null3"/>
      </w:pPr>
      <w:r>
        <w:rPr/>
        <w:t>详见服务要求</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合同签订后，分配车位工作开展之日起，具体时间以甲方通知为准，每个回迁小区车位分配服务期不超过30天。</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1.按国家、行业相关标准及甲方要求进行验收。 2.甲方进行验收，若认为验收不合格，乙方应重新调整且进行重新验收。 3.验收依据： ①本项目磋商文件、磋商响应文件； ②本合同及附件文本； ③合同签订时国家及行业现行的标准和技术规范。 ④乙方应向甲方提交项目实施过程中的所有资料，以便甲方日后检查工作。</w:t>
      </w:r>
    </w:p>
    <w:p>
      <w:pPr>
        <w:pStyle w:val="null3"/>
        <w:outlineLvl w:val="3"/>
      </w:pPr>
      <w:r>
        <w:rPr>
          <w:sz w:val="24"/>
          <w:b/>
        </w:rPr>
        <w:t>3.3.4支付方式</w:t>
      </w:r>
    </w:p>
    <w:p>
      <w:pPr>
        <w:pStyle w:val="null3"/>
      </w:pPr>
      <w:r>
        <w:rPr/>
        <w:t>采购包1：</w:t>
      </w:r>
    </w:p>
    <w:p>
      <w:pPr>
        <w:pStyle w:val="null3"/>
      </w:pPr>
      <w:r>
        <w:rPr/>
        <w:t>一次付清</w:t>
      </w:r>
    </w:p>
    <w:p>
      <w:pPr>
        <w:pStyle w:val="null3"/>
        <w:outlineLvl w:val="3"/>
      </w:pPr>
      <w:r>
        <w:rPr>
          <w:sz w:val="24"/>
          <w:b/>
        </w:rPr>
        <w:t>3.3.5支付约定</w:t>
      </w:r>
    </w:p>
    <w:p>
      <w:pPr>
        <w:pStyle w:val="null3"/>
      </w:pPr>
      <w:r>
        <w:rPr/>
        <w:t>采购包1：</w:t>
      </w:r>
      <w:r>
        <w:rPr/>
        <w:t xml:space="preserve"> 付款条件说明： </w:t>
      </w:r>
      <w:r>
        <w:rPr/>
        <w:t>分阶段进行支付：乙方按照要求，每完成一个回迁小区车位分配的服务内容并验收合格后，甲方支付该部分合同价款，达到付款条件起30日内，支付该部分合同金额的100.00%。</w:t>
      </w:r>
      <w:r>
        <w:rPr/>
        <w:t xml:space="preserve"> ，达到付款条件起 </w:t>
      </w:r>
      <w:r>
        <w:rPr/>
        <w:t>30</w:t>
      </w:r>
      <w:r>
        <w:rPr/>
        <w:t xml:space="preserve"> 日内，支付合同总金额的 </w:t>
      </w:r>
      <w:r>
        <w:rPr/>
        <w:t>100.00</w:t>
      </w:r>
      <w:r>
        <w:rPr/>
        <w:t>%。</w:t>
      </w:r>
    </w:p>
    <w:p>
      <w:pPr>
        <w:pStyle w:val="null3"/>
        <w:outlineLvl w:val="3"/>
      </w:pPr>
      <w:r>
        <w:rPr>
          <w:sz w:val="24"/>
          <w:b/>
        </w:rPr>
        <w:t>3.3.6违约责任及解决争议的方法</w:t>
      </w:r>
    </w:p>
    <w:p>
      <w:pPr>
        <w:pStyle w:val="null3"/>
      </w:pPr>
      <w:r>
        <w:rPr/>
        <w:t>采购包1：</w:t>
      </w:r>
    </w:p>
    <w:p>
      <w:pPr>
        <w:pStyle w:val="null3"/>
      </w:pPr>
      <w:r>
        <w:rPr/>
        <w:t>1.按《中华人民共和国民法典》中的相关条款执行。 2.如乙方所提供的服务内容出现瑕疵及质量问题，或乙方未按合同要求提供服务或服务不能满足合同要求，经甲方要求限期整改仍未整改完成后拒绝整改的，甲方有权单方解除本协议，乙方应当按照合同金额的20%向甲方承担违约金。 3.乙方因履行本合同义务造成第三人财产或人身损害的，应当自行承担损害赔偿义务。因此给甲方财产造成损失的，乙方应当予以赔偿。 4.乙方及其员工在履行本协议过程中受到第三人伤害的，应当予由乙方自行负责。 5.甲乙双方应遵守合同并执行合同中的各项规定，保证合同的正常履行。 6.如碰到不可抗力因素造成无法按照原计划提供服务的，由甲乙双方协商解决。 解决争议的方法：合同执行中发生争议的，当事人双方应协商解决，协商达不成一致时，可向西安仲裁委员会申请仲裁。</w:t>
      </w:r>
    </w:p>
    <w:p>
      <w:pPr>
        <w:pStyle w:val="null3"/>
        <w:outlineLvl w:val="2"/>
      </w:pPr>
      <w:r>
        <w:rPr>
          <w:sz w:val="28"/>
          <w:b/>
        </w:rPr>
        <w:t>3.4其他要求</w:t>
      </w:r>
    </w:p>
    <w:p>
      <w:pPr>
        <w:pStyle w:val="null3"/>
      </w:pPr>
      <w:r>
        <w:rPr/>
        <w:t>1.本项目专门面向中小企业采购，供应商应为中小微企业或监狱企业或残疾人福利性单位。 2.本项目属性为服务。 3.本项目合同包1采购标的所属行业为：其他未列明行业； 4.本项目是否属于信用担保试点范围：否。 5.本项目为固定总价合同。</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具有独立承担民事责任的法人、其他组织或自然人，并出具合法有效的营业执照或事业单位法人证书等国家规定的相关证明，自然人参与的提供其身份证明；2.提供2024年至今已缴纳的至少一个月的纳税证明或完税证明（任意税种），依法免税的单位应提供相关证明材料；3.提供2024年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2023年度的经审计的财务会计报告（成立时间至提交磋商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法定代表人授权书/法定代表人身份证明</w:t>
            </w:r>
          </w:p>
        </w:tc>
        <w:tc>
          <w:tcPr>
            <w:tcW w:type="dxa" w:w="3322"/>
          </w:tcPr>
          <w:p>
            <w:pPr>
              <w:pStyle w:val="null3"/>
            </w:pPr>
            <w:r>
              <w:rPr/>
              <w:t>法定代表人授权书（附法定代表人、被授权人身份证复印件），法定代表人直接参加磋商，须提供法定代表人身份证明。</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信用记录</w:t>
            </w:r>
          </w:p>
        </w:tc>
        <w:tc>
          <w:tcPr>
            <w:tcW w:type="dxa" w:w="3322"/>
          </w:tcPr>
          <w:p>
            <w:pPr>
              <w:pStyle w:val="null3"/>
            </w:pPr>
            <w:r>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联合体</w:t>
            </w:r>
          </w:p>
        </w:tc>
        <w:tc>
          <w:tcPr>
            <w:tcW w:type="dxa" w:w="3322"/>
          </w:tcPr>
          <w:p>
            <w:pPr>
              <w:pStyle w:val="null3"/>
            </w:pPr>
            <w:r>
              <w:rPr/>
              <w:t>本项目不接受联合体磋商；</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磋商响应文件的签署盖章</w:t>
            </w:r>
          </w:p>
        </w:tc>
        <w:tc>
          <w:tcPr>
            <w:tcW w:type="dxa" w:w="3322"/>
          </w:tcPr>
          <w:p>
            <w:pPr>
              <w:pStyle w:val="null3"/>
            </w:pPr>
            <w:r>
              <w:rPr/>
              <w:t>磋商响应文件上法定代表人或其授权代表人的签字齐全并加盖公章</w:t>
            </w:r>
          </w:p>
        </w:tc>
        <w:tc>
          <w:tcPr>
            <w:tcW w:type="dxa" w:w="1661"/>
          </w:tcPr>
          <w:p>
            <w:pPr>
              <w:pStyle w:val="null3"/>
            </w:pPr>
            <w:r>
              <w:rPr/>
              <w:t>供应商参加政府采购活动承诺书 中小企业声明函 业绩 报价表 商务条款偏离表 磋商方案说明书 响应文件封面 资格证明文件 残疾人福利性单位声明函 磋商分项报价表 其它说明 标的清单 响应函 监狱企业的证明文件</w:t>
            </w:r>
          </w:p>
        </w:tc>
      </w:tr>
      <w:tr>
        <w:tc>
          <w:tcPr>
            <w:tcW w:type="dxa" w:w="831"/>
          </w:tcPr>
          <w:p>
            <w:pPr>
              <w:pStyle w:val="null3"/>
            </w:pPr>
            <w:r>
              <w:rPr/>
              <w:t>3</w:t>
            </w:r>
          </w:p>
        </w:tc>
        <w:tc>
          <w:tcPr>
            <w:tcW w:type="dxa" w:w="2492"/>
          </w:tcPr>
          <w:p>
            <w:pPr>
              <w:pStyle w:val="null3"/>
            </w:pPr>
            <w:r>
              <w:rPr/>
              <w:t>磋商响应文件格式</w:t>
            </w:r>
          </w:p>
        </w:tc>
        <w:tc>
          <w:tcPr>
            <w:tcW w:type="dxa" w:w="3322"/>
          </w:tcPr>
          <w:p>
            <w:pPr>
              <w:pStyle w:val="null3"/>
            </w:pPr>
            <w:r>
              <w:rPr/>
              <w:t>应符合“磋商响应文件格式”要求</w:t>
            </w:r>
          </w:p>
        </w:tc>
        <w:tc>
          <w:tcPr>
            <w:tcW w:type="dxa" w:w="1661"/>
          </w:tcPr>
          <w:p>
            <w:pPr>
              <w:pStyle w:val="null3"/>
            </w:pPr>
            <w:r>
              <w:rPr/>
              <w:t>供应商参加政府采购活动承诺书 中小企业声明函 业绩 报价表 商务条款偏离表 磋商方案说明书 响应文件封面 资格证明文件 残疾人福利性单位声明函 磋商分项报价表 其它说明 标的清单 响应函 监狱企业的证明文件</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磋商分项报价表 标的清单 报价表 响应函</w:t>
            </w:r>
          </w:p>
        </w:tc>
      </w:tr>
      <w:tr>
        <w:tc>
          <w:tcPr>
            <w:tcW w:type="dxa" w:w="831"/>
          </w:tcPr>
          <w:p>
            <w:pPr>
              <w:pStyle w:val="null3"/>
            </w:pPr>
            <w:r>
              <w:rPr/>
              <w:t>5</w:t>
            </w:r>
          </w:p>
        </w:tc>
        <w:tc>
          <w:tcPr>
            <w:tcW w:type="dxa" w:w="2492"/>
          </w:tcPr>
          <w:p>
            <w:pPr>
              <w:pStyle w:val="null3"/>
            </w:pPr>
            <w:r>
              <w:rPr/>
              <w:t>是否专门面向中小企业</w:t>
            </w:r>
          </w:p>
        </w:tc>
        <w:tc>
          <w:tcPr>
            <w:tcW w:type="dxa" w:w="3322"/>
          </w:tcPr>
          <w:p>
            <w:pPr>
              <w:pStyle w:val="null3"/>
            </w:pPr>
            <w:r>
              <w:rPr/>
              <w:t>本项目专门面向中小企业</w:t>
            </w:r>
          </w:p>
        </w:tc>
        <w:tc>
          <w:tcPr>
            <w:tcW w:type="dxa" w:w="1661"/>
          </w:tcPr>
          <w:p>
            <w:pPr>
              <w:pStyle w:val="null3"/>
            </w:pPr>
            <w:r>
              <w:rPr/>
              <w:t>中小企业声明函 残疾人福利性单位声明函 监狱企业的证明文件</w:t>
            </w:r>
          </w:p>
        </w:tc>
      </w:tr>
      <w:tr>
        <w:tc>
          <w:tcPr>
            <w:tcW w:type="dxa" w:w="831"/>
          </w:tcPr>
          <w:p>
            <w:pPr>
              <w:pStyle w:val="null3"/>
            </w:pPr>
            <w:r>
              <w:rPr/>
              <w:t>6</w:t>
            </w:r>
          </w:p>
        </w:tc>
        <w:tc>
          <w:tcPr>
            <w:tcW w:type="dxa" w:w="2492"/>
          </w:tcPr>
          <w:p>
            <w:pPr>
              <w:pStyle w:val="null3"/>
            </w:pPr>
            <w:r>
              <w:rPr/>
              <w:t>对磋商文件响应程度</w:t>
            </w:r>
          </w:p>
        </w:tc>
        <w:tc>
          <w:tcPr>
            <w:tcW w:type="dxa" w:w="3322"/>
          </w:tcPr>
          <w:p>
            <w:pPr>
              <w:pStyle w:val="null3"/>
            </w:pPr>
            <w:r>
              <w:rPr/>
              <w:t>要求全面响应，不能有任何采购人不能接受的附加条件</w:t>
            </w:r>
          </w:p>
        </w:tc>
        <w:tc>
          <w:tcPr>
            <w:tcW w:type="dxa" w:w="1661"/>
          </w:tcPr>
          <w:p>
            <w:pPr>
              <w:pStyle w:val="null3"/>
            </w:pPr>
            <w:r>
              <w:rPr/>
              <w:t>其它说明 响应函 商务条款偏离表 磋商方案说明书</w:t>
            </w:r>
          </w:p>
        </w:tc>
      </w:tr>
      <w:tr>
        <w:tc>
          <w:tcPr>
            <w:tcW w:type="dxa" w:w="831"/>
          </w:tcPr>
          <w:p>
            <w:pPr>
              <w:pStyle w:val="null3"/>
            </w:pPr>
            <w:r>
              <w:rPr/>
              <w:t>7</w:t>
            </w:r>
          </w:p>
        </w:tc>
        <w:tc>
          <w:tcPr>
            <w:tcW w:type="dxa" w:w="2492"/>
          </w:tcPr>
          <w:p>
            <w:pPr>
              <w:pStyle w:val="null3"/>
            </w:pPr>
            <w:r>
              <w:rPr/>
              <w:t>服务期</w:t>
            </w:r>
          </w:p>
        </w:tc>
        <w:tc>
          <w:tcPr>
            <w:tcW w:type="dxa" w:w="3322"/>
          </w:tcPr>
          <w:p>
            <w:pPr>
              <w:pStyle w:val="null3"/>
            </w:pPr>
            <w:r>
              <w:rPr/>
              <w:t>应满足磋商文件中要求的服务期</w:t>
            </w:r>
          </w:p>
        </w:tc>
        <w:tc>
          <w:tcPr>
            <w:tcW w:type="dxa" w:w="1661"/>
          </w:tcPr>
          <w:p>
            <w:pPr>
              <w:pStyle w:val="null3"/>
            </w:pPr>
            <w:r>
              <w:rPr/>
              <w:t>其它说明 响应函 商务条款偏离表 磋商方案说明书</w:t>
            </w:r>
          </w:p>
        </w:tc>
      </w:tr>
      <w:tr>
        <w:tc>
          <w:tcPr>
            <w:tcW w:type="dxa" w:w="831"/>
          </w:tcPr>
          <w:p>
            <w:pPr>
              <w:pStyle w:val="null3"/>
            </w:pPr>
            <w:r>
              <w:rPr/>
              <w:t>8</w:t>
            </w:r>
          </w:p>
        </w:tc>
        <w:tc>
          <w:tcPr>
            <w:tcW w:type="dxa" w:w="2492"/>
          </w:tcPr>
          <w:p>
            <w:pPr>
              <w:pStyle w:val="null3"/>
            </w:pPr>
            <w:r>
              <w:rPr/>
              <w:t>磋商有效期</w:t>
            </w:r>
          </w:p>
        </w:tc>
        <w:tc>
          <w:tcPr>
            <w:tcW w:type="dxa" w:w="3322"/>
          </w:tcPr>
          <w:p>
            <w:pPr>
              <w:pStyle w:val="null3"/>
            </w:pPr>
            <w:r>
              <w:rPr/>
              <w:t>应满足磋商文件中的规定</w:t>
            </w:r>
          </w:p>
        </w:tc>
        <w:tc>
          <w:tcPr>
            <w:tcW w:type="dxa" w:w="1661"/>
          </w:tcPr>
          <w:p>
            <w:pPr>
              <w:pStyle w:val="null3"/>
            </w:pPr>
            <w:r>
              <w:rPr/>
              <w:t>其它说明 响应函 商务条款偏离表 磋商方案说明书</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详细评审80.0000分</w:t>
            </w:r>
          </w:p>
          <w:p>
            <w:pPr>
              <w:pStyle w:val="null3"/>
            </w:pPr>
            <w:r>
              <w:rPr/>
              <w:t>报价得分20.0000分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项目分析</w:t>
            </w:r>
          </w:p>
        </w:tc>
        <w:tc>
          <w:tcPr>
            <w:tcW w:type="dxa" w:w="2492"/>
          </w:tcPr>
          <w:p>
            <w:pPr>
              <w:pStyle w:val="null3"/>
            </w:pPr>
            <w:r>
              <w:rPr/>
              <w:t>对本项目背景了解、现状理解透彻、项目目标、任务理解及对项目内容情况理解有详细分析得7-10分； 对本项目背景了解基本正确、现状理解较为简单、项目目标、任务理解及对项目内容情况分析不够详细得4-7分（含7分）； 对本项目背景了解较为简单、现状不够理解、项目目标、任务理解及对项目内容情况分析欠缺得1-4分（含4分）。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磋商方案说明书</w:t>
            </w:r>
          </w:p>
          <w:p>
            <w:pPr>
              <w:pStyle w:val="null3"/>
            </w:pPr>
            <w:r>
              <w:rPr/>
              <w:t>其它说明</w:t>
            </w:r>
          </w:p>
        </w:tc>
      </w:tr>
      <w:tr>
        <w:tc>
          <w:tcPr>
            <w:tcW w:type="dxa" w:w="831"/>
            <w:vMerge/>
          </w:tcPr>
          <w:p/>
        </w:tc>
        <w:tc>
          <w:tcPr>
            <w:tcW w:type="dxa" w:w="1661"/>
          </w:tcPr>
          <w:p>
            <w:pPr>
              <w:pStyle w:val="null3"/>
            </w:pPr>
            <w:r>
              <w:rPr/>
              <w:t>服务方案</w:t>
            </w:r>
          </w:p>
        </w:tc>
        <w:tc>
          <w:tcPr>
            <w:tcW w:type="dxa" w:w="2492"/>
          </w:tcPr>
          <w:p>
            <w:pPr>
              <w:pStyle w:val="null3"/>
            </w:pPr>
            <w:r>
              <w:rPr/>
              <w:t>根据本项目的服务特点、服务目标、服务要求、服务方式等内容，磋商小组对响应文件中提供的以上内容的完整性、科学性、合理性、计划性进行综合评审。 针对本项目所提供的服务方案全面具体规范，合理可行；得10-15分 针对本项目所提供的服务方案基本规范，可行性一般；得5-10分（含10分）； 针对本项目所提供的服务方案不够全面具体，得1-5分（含5分）。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磋商方案说明书</w:t>
            </w:r>
          </w:p>
          <w:p>
            <w:pPr>
              <w:pStyle w:val="null3"/>
            </w:pPr>
            <w:r>
              <w:rPr/>
              <w:t>其它说明</w:t>
            </w:r>
          </w:p>
        </w:tc>
      </w:tr>
      <w:tr>
        <w:tc>
          <w:tcPr>
            <w:tcW w:type="dxa" w:w="831"/>
            <w:vMerge/>
          </w:tcPr>
          <w:p/>
        </w:tc>
        <w:tc>
          <w:tcPr>
            <w:tcW w:type="dxa" w:w="1661"/>
          </w:tcPr>
          <w:p>
            <w:pPr>
              <w:pStyle w:val="null3"/>
            </w:pPr>
            <w:r>
              <w:rPr/>
              <w:t>组织计划和人员构成</w:t>
            </w:r>
          </w:p>
        </w:tc>
        <w:tc>
          <w:tcPr>
            <w:tcW w:type="dxa" w:w="2492"/>
          </w:tcPr>
          <w:p>
            <w:pPr>
              <w:pStyle w:val="null3"/>
            </w:pPr>
            <w:r>
              <w:rPr/>
              <w:t>组织机构设置合理，管理人员及技术人员配备数量充足、人员职责明确、分工清晰合理、相关项目实施经验丰富，得7-10分； 组织机构设置较为合理，管理人员及技术人员配备数量较充足、职责较明确、分工较清晰合理、相关项目实施经验较丰富，得4-7分（含7分）； 组织机构设置一般，管理人员及技术人员配备数量不够充足、职责不够明确、分工不够清晰合理，不具备相关项目实施经验，得1-4分（含4分）；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磋商方案说明书</w:t>
            </w:r>
          </w:p>
          <w:p>
            <w:pPr>
              <w:pStyle w:val="null3"/>
            </w:pPr>
            <w:r>
              <w:rPr/>
              <w:t>其它说明</w:t>
            </w:r>
          </w:p>
        </w:tc>
      </w:tr>
      <w:tr>
        <w:tc>
          <w:tcPr>
            <w:tcW w:type="dxa" w:w="831"/>
            <w:vMerge/>
          </w:tcPr>
          <w:p/>
        </w:tc>
        <w:tc>
          <w:tcPr>
            <w:tcW w:type="dxa" w:w="1661"/>
          </w:tcPr>
          <w:p>
            <w:pPr>
              <w:pStyle w:val="null3"/>
            </w:pPr>
            <w:r>
              <w:rPr/>
              <w:t>工作进度</w:t>
            </w:r>
          </w:p>
        </w:tc>
        <w:tc>
          <w:tcPr>
            <w:tcW w:type="dxa" w:w="2492"/>
          </w:tcPr>
          <w:p>
            <w:pPr>
              <w:pStyle w:val="null3"/>
            </w:pPr>
            <w:r>
              <w:rPr/>
              <w:t>工作进度计划全面详细、合理，符合实际对完成本项目有详细、合理的时间计划、进度安排和保障措施，针对性很强，保证措施有力，能够很好地满足项目需求，违约措施及承诺具体可行，可操作性高得5-7分； 工作进度计划详细、合理，符合实际，有明确，较为合理的时间安排，工作计划针对性强，保证措施一般，能够满足项目需求，违约措施及承诺较好，可操作性较好3-5分（含5分）； 工作进度计划基本完整、有合理性，有一定的针对性，有保证措施，基本能够满足项目要求，违约措施及承诺一般，可操作性一般得1-3分（含3分）。 工作进度计划不完整不合理，无针对性，保证措施差或无进度计划及保证措施的不得分0分。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磋商方案说明书</w:t>
            </w:r>
          </w:p>
          <w:p>
            <w:pPr>
              <w:pStyle w:val="null3"/>
            </w:pPr>
            <w:r>
              <w:rPr/>
              <w:t>其它说明</w:t>
            </w:r>
          </w:p>
        </w:tc>
      </w:tr>
      <w:tr>
        <w:tc>
          <w:tcPr>
            <w:tcW w:type="dxa" w:w="831"/>
            <w:vMerge/>
          </w:tcPr>
          <w:p/>
        </w:tc>
        <w:tc>
          <w:tcPr>
            <w:tcW w:type="dxa" w:w="1661"/>
          </w:tcPr>
          <w:p>
            <w:pPr>
              <w:pStyle w:val="null3"/>
            </w:pPr>
            <w:r>
              <w:rPr/>
              <w:t>服务质量保证措施</w:t>
            </w:r>
          </w:p>
        </w:tc>
        <w:tc>
          <w:tcPr>
            <w:tcW w:type="dxa" w:w="2492"/>
          </w:tcPr>
          <w:p>
            <w:pPr>
              <w:pStyle w:val="null3"/>
            </w:pPr>
            <w:r>
              <w:rPr/>
              <w:t>针对本项目质量保证措施（含服务期内出现安全隐患及满意度下降等情况时的处罚办法）。有具体可行的质量保证措施，方案具体、完整、可操作性强的得7-10分； 质量保证措施较完整、可操作性一般的得4-7分（含7分）； 质量保证措施较完整、可操作性差的得1-4分（含4分）。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磋商方案说明书</w:t>
            </w:r>
          </w:p>
          <w:p>
            <w:pPr>
              <w:pStyle w:val="null3"/>
            </w:pPr>
            <w:r>
              <w:rPr/>
              <w:t>其它说明</w:t>
            </w:r>
          </w:p>
        </w:tc>
      </w:tr>
      <w:tr>
        <w:tc>
          <w:tcPr>
            <w:tcW w:type="dxa" w:w="831"/>
            <w:vMerge/>
          </w:tcPr>
          <w:p/>
        </w:tc>
        <w:tc>
          <w:tcPr>
            <w:tcW w:type="dxa" w:w="1661"/>
          </w:tcPr>
          <w:p>
            <w:pPr>
              <w:pStyle w:val="null3"/>
            </w:pPr>
            <w:r>
              <w:rPr/>
              <w:t>应急预案</w:t>
            </w:r>
          </w:p>
        </w:tc>
        <w:tc>
          <w:tcPr>
            <w:tcW w:type="dxa" w:w="2492"/>
          </w:tcPr>
          <w:p>
            <w:pPr>
              <w:pStyle w:val="null3"/>
            </w:pPr>
            <w:r>
              <w:rPr/>
              <w:t>突发事件应急方案、安全保障方案和人员调配能力方案合理详细，实用，科学性、可操作性高得3-5分； 突发事件应急方案、安全保障方案和人员调配能力方案较合理详细，科学性、可操作性较强得1-3分（含3分）。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磋商方案说明书</w:t>
            </w:r>
          </w:p>
          <w:p>
            <w:pPr>
              <w:pStyle w:val="null3"/>
            </w:pPr>
            <w:r>
              <w:rPr/>
              <w:t>其它说明</w:t>
            </w:r>
          </w:p>
        </w:tc>
      </w:tr>
      <w:tr>
        <w:tc>
          <w:tcPr>
            <w:tcW w:type="dxa" w:w="831"/>
            <w:vMerge/>
          </w:tcPr>
          <w:p/>
        </w:tc>
        <w:tc>
          <w:tcPr>
            <w:tcW w:type="dxa" w:w="1661"/>
          </w:tcPr>
          <w:p>
            <w:pPr>
              <w:pStyle w:val="null3"/>
            </w:pPr>
            <w:r>
              <w:rPr/>
              <w:t>保密方案</w:t>
            </w:r>
          </w:p>
        </w:tc>
        <w:tc>
          <w:tcPr>
            <w:tcW w:type="dxa" w:w="2492"/>
          </w:tcPr>
          <w:p>
            <w:pPr>
              <w:pStyle w:val="null3"/>
            </w:pPr>
            <w:r>
              <w:rPr/>
              <w:t>具有完善的保密措施和保密方案，从管理、人员、技术等各个方面，全面保证采购人数据及相关信息不泄密，保密承诺详细可行得3-5分； 保密方案简略，可行性较差得1-3分（含3分）。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磋商方案说明书</w:t>
            </w:r>
          </w:p>
          <w:p>
            <w:pPr>
              <w:pStyle w:val="null3"/>
            </w:pPr>
            <w:r>
              <w:rPr/>
              <w:t>其它说明</w:t>
            </w:r>
          </w:p>
        </w:tc>
      </w:tr>
      <w:tr>
        <w:tc>
          <w:tcPr>
            <w:tcW w:type="dxa" w:w="831"/>
            <w:vMerge/>
          </w:tcPr>
          <w:p/>
        </w:tc>
        <w:tc>
          <w:tcPr>
            <w:tcW w:type="dxa" w:w="1661"/>
          </w:tcPr>
          <w:p>
            <w:pPr>
              <w:pStyle w:val="null3"/>
            </w:pPr>
            <w:r>
              <w:rPr/>
              <w:t>重难点分析及应对措施</w:t>
            </w:r>
          </w:p>
        </w:tc>
        <w:tc>
          <w:tcPr>
            <w:tcW w:type="dxa" w:w="2492"/>
          </w:tcPr>
          <w:p>
            <w:pPr>
              <w:pStyle w:val="null3"/>
            </w:pPr>
            <w:r>
              <w:rPr/>
              <w:t>针对本项目实际情况及供应商以往工作经验提出重难点分析及应对措施。 重难点分析及应对措施详细可行，得3-6分； 重难点分析及应对措施基本合理，有一定可行性，得1-3分（含3分）； 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磋商方案说明书</w:t>
            </w:r>
          </w:p>
          <w:p>
            <w:pPr>
              <w:pStyle w:val="null3"/>
            </w:pPr>
            <w:r>
              <w:rPr/>
              <w:t>其它说明</w:t>
            </w:r>
          </w:p>
        </w:tc>
      </w:tr>
      <w:tr>
        <w:tc>
          <w:tcPr>
            <w:tcW w:type="dxa" w:w="831"/>
            <w:vMerge/>
          </w:tcPr>
          <w:p/>
        </w:tc>
        <w:tc>
          <w:tcPr>
            <w:tcW w:type="dxa" w:w="1661"/>
          </w:tcPr>
          <w:p>
            <w:pPr>
              <w:pStyle w:val="null3"/>
            </w:pPr>
            <w:r>
              <w:rPr/>
              <w:t>内部管理</w:t>
            </w:r>
          </w:p>
        </w:tc>
        <w:tc>
          <w:tcPr>
            <w:tcW w:type="dxa" w:w="2492"/>
          </w:tcPr>
          <w:p>
            <w:pPr>
              <w:pStyle w:val="null3"/>
            </w:pPr>
            <w:r>
              <w:rPr/>
              <w:t>供应商具有清晰明确的内部管理架构、管理理念、激励机制、信息反馈渠道齐全、合理、切实可行得2-4分；内部管理架构、管理理念、激励机制、信息反馈渠道较齐全，但可行性差或无相关管理制度可行得0-2分（含2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磋商方案说明书</w:t>
            </w:r>
          </w:p>
          <w:p>
            <w:pPr>
              <w:pStyle w:val="null3"/>
            </w:pPr>
            <w:r>
              <w:rPr/>
              <w:t>其它说明</w:t>
            </w:r>
          </w:p>
        </w:tc>
      </w:tr>
      <w:tr>
        <w:tc>
          <w:tcPr>
            <w:tcW w:type="dxa" w:w="831"/>
            <w:vMerge/>
          </w:tcPr>
          <w:p/>
        </w:tc>
        <w:tc>
          <w:tcPr>
            <w:tcW w:type="dxa" w:w="1661"/>
          </w:tcPr>
          <w:p>
            <w:pPr>
              <w:pStyle w:val="null3"/>
            </w:pPr>
            <w:r>
              <w:rPr/>
              <w:t>业绩</w:t>
            </w:r>
          </w:p>
        </w:tc>
        <w:tc>
          <w:tcPr>
            <w:tcW w:type="dxa" w:w="2492"/>
          </w:tcPr>
          <w:p>
            <w:pPr>
              <w:pStyle w:val="null3"/>
            </w:pPr>
            <w:r>
              <w:rPr/>
              <w:t>供应商2021年01月01日至今类似项目业绩，每提供1份得2分，最高得8分； 业绩证明（以合同/协议或中标/成交通知书为准，须在磋商响应文件中附合同/协议或中标/成交通知书的扫描件加盖单位公章。）弄虚作假者，取消其中标资格。</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20分。3.磋商报价得分=（磋商基准价/最终磋商报价）×20的公式计算得分。4.磋商报价不完整的，不进入磋商基准价的计算，本项得0分。</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详见附件：磋商分项报价表</w:t>
      </w:r>
    </w:p>
    <w:p>
      <w:pPr>
        <w:pStyle w:val="null3"/>
        <w:ind w:firstLine="960"/>
      </w:pPr>
      <w:r>
        <w:rPr/>
        <w:t>详见附件：资格证明文件</w:t>
      </w:r>
    </w:p>
    <w:p>
      <w:pPr>
        <w:pStyle w:val="null3"/>
        <w:ind w:firstLine="960"/>
      </w:pPr>
      <w:r>
        <w:rPr/>
        <w:t>详见附件：磋商方案说明书</w:t>
      </w:r>
    </w:p>
    <w:p>
      <w:pPr>
        <w:pStyle w:val="null3"/>
        <w:ind w:firstLine="960"/>
      </w:pPr>
      <w:r>
        <w:rPr/>
        <w:t>详见附件：供应商参加政府采购活动承诺书</w:t>
      </w:r>
    </w:p>
    <w:p>
      <w:pPr>
        <w:pStyle w:val="null3"/>
        <w:ind w:firstLine="960"/>
      </w:pPr>
      <w:r>
        <w:rPr/>
        <w:t>详见附件：商务条款偏离表</w:t>
      </w:r>
    </w:p>
    <w:p>
      <w:pPr>
        <w:pStyle w:val="null3"/>
        <w:ind w:firstLine="960"/>
      </w:pPr>
      <w:r>
        <w:rPr/>
        <w:t>详见附件：其它说明</w:t>
      </w:r>
    </w:p>
    <w:p>
      <w:pPr>
        <w:pStyle w:val="null3"/>
        <w:ind w:firstLine="960"/>
      </w:pPr>
      <w:r>
        <w:rPr/>
        <w:t>详见附件：业绩</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详见附件：西安市灞桥区人民政府新筑街道办事处回迁安置小区车位分配服务项目.docx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