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西安国际港务区2024年统计工作辅助服务项目</w:t>
      </w:r>
    </w:p>
    <w:p>
      <w:pPr>
        <w:pStyle w:val="null3"/>
        <w:jc w:val="center"/>
        <w:outlineLvl w:val="2"/>
      </w:pPr>
      <w:r>
        <w:rPr>
          <w:b/>
          <w:sz w:val="28"/>
        </w:rPr>
        <w:t>采购项目编号：</w:t>
      </w:r>
      <w:r>
        <w:rPr>
          <w:b/>
          <w:sz w:val="28"/>
        </w:rPr>
        <w:t>GWZC-2024-016</w:t>
      </w:r>
      <w:r>
        <w:br/>
      </w:r>
      <w:r>
        <w:br/>
      </w:r>
      <w:r>
        <w:br/>
      </w:r>
    </w:p>
    <w:p>
      <w:pPr>
        <w:pStyle w:val="null3"/>
        <w:jc w:val="center"/>
        <w:outlineLvl w:val="2"/>
      </w:pPr>
      <w:r>
        <w:rPr>
          <w:b/>
          <w:sz w:val="28"/>
        </w:rPr>
        <w:t>西安国际港务区发展改革局</w:t>
      </w:r>
    </w:p>
    <w:p>
      <w:pPr>
        <w:pStyle w:val="null3"/>
        <w:jc w:val="center"/>
        <w:outlineLvl w:val="2"/>
      </w:pPr>
      <w:r>
        <w:rPr>
          <w:b/>
          <w:sz w:val="28"/>
        </w:rPr>
        <w:t>华晟国际项目管理有限公司</w:t>
      </w:r>
      <w:r>
        <w:rPr>
          <w:b/>
          <w:sz w:val="28"/>
        </w:rPr>
        <w:t>共同编制</w:t>
      </w:r>
    </w:p>
    <w:p>
      <w:pPr>
        <w:pStyle w:val="null3"/>
        <w:jc w:val="center"/>
        <w:outlineLvl w:val="2"/>
      </w:pPr>
      <w:r>
        <w:rPr>
          <w:b/>
          <w:sz w:val="28"/>
        </w:rPr>
        <w:t>2024年03月14日</w:t>
      </w:r>
    </w:p>
    <w:p>
      <w:pPr>
        <w:pStyle w:val="null3"/>
      </w:pPr>
      <w:r>
        <w:rPr/>
        <w:t xml:space="preserve"> </w:t>
      </w:r>
    </w:p>
    <w:p>
      <w:pPr>
        <w:pStyle w:val="null3"/>
        <w:jc w:val="center"/>
        <w:outlineLvl w:val="1"/>
      </w:pPr>
      <w:r>
        <w:rPr>
          <w:b/>
          <w:sz w:val="36"/>
        </w:rPr>
        <w:t>第一章 竞争性磋商邀请</w:t>
      </w:r>
    </w:p>
    <w:p>
      <w:pPr>
        <w:pStyle w:val="null3"/>
        <w:ind w:firstLine="480"/>
      </w:pPr>
      <w:r>
        <w:rPr/>
        <w:t>华晟国际项目管理有限公司</w:t>
      </w:r>
      <w:r>
        <w:rPr/>
        <w:t>（以下简称“代理机构”）受</w:t>
      </w:r>
      <w:r>
        <w:rPr/>
        <w:t>西安国际港务区发展改革局</w:t>
      </w:r>
      <w:r>
        <w:rPr/>
        <w:t>委托，拟对</w:t>
      </w:r>
      <w:r>
        <w:rPr/>
        <w:t>西安国际港务区2024年统计工作辅助服务项目</w:t>
      </w:r>
      <w:r>
        <w:rPr/>
        <w:t>采用竞争性磋商采购方式进行采购，兹邀请供应商参加本项目的竞争性磋商。</w:t>
      </w:r>
    </w:p>
    <w:p>
      <w:pPr>
        <w:pStyle w:val="null3"/>
        <w:outlineLvl w:val="2"/>
      </w:pPr>
      <w:r>
        <w:rPr>
          <w:b/>
          <w:sz w:val="28"/>
        </w:rPr>
        <w:t>一、项目编号：</w:t>
      </w:r>
      <w:r>
        <w:rPr>
          <w:b/>
          <w:sz w:val="28"/>
        </w:rPr>
        <w:t>GWZC-2024-016</w:t>
      </w:r>
    </w:p>
    <w:p>
      <w:pPr>
        <w:pStyle w:val="null3"/>
        <w:outlineLvl w:val="2"/>
      </w:pPr>
      <w:r>
        <w:rPr>
          <w:b/>
          <w:sz w:val="28"/>
        </w:rPr>
        <w:t>二、项目名称：</w:t>
      </w:r>
      <w:r>
        <w:rPr>
          <w:b/>
          <w:sz w:val="28"/>
        </w:rPr>
        <w:t>西安国际港务区2024年统计工作辅助服务项目</w:t>
      </w:r>
    </w:p>
    <w:p>
      <w:pPr>
        <w:pStyle w:val="null3"/>
        <w:outlineLvl w:val="2"/>
      </w:pPr>
      <w:r>
        <w:rPr>
          <w:b/>
          <w:sz w:val="28"/>
        </w:rPr>
        <w:t>三、磋商项目简介</w:t>
      </w:r>
    </w:p>
    <w:p>
      <w:pPr>
        <w:pStyle w:val="null3"/>
        <w:ind w:firstLine="480"/>
      </w:pPr>
      <w:r>
        <w:rPr/>
        <w:t>西安国际港务区2024年统计工作辅助服务，具体内容详见第三章。</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1、有效的主体资格证明：提供合格有效的法人或者其他组织的营业执照等证明文件或自然人的身份证明；</w:t>
      </w:r>
    </w:p>
    <w:p>
      <w:pPr>
        <w:pStyle w:val="null3"/>
      </w:pPr>
      <w:r>
        <w:rPr/>
        <w:t>2、财务状况报告：提供2022年度的财务审计报告或开标前六个月内其基本存款账户开户银行出具的资信证明（附开户许可证或开户备案证明或基本账户信息）；</w:t>
      </w:r>
    </w:p>
    <w:p>
      <w:pPr>
        <w:pStyle w:val="null3"/>
      </w:pPr>
      <w:r>
        <w:rPr/>
        <w:t>3、税收缴纳证明：提供2023年07月01日至今已缴存的至少一个月的纳税证明或完税证明，依法免税的单位应提供相关证明材料；</w:t>
      </w:r>
    </w:p>
    <w:p>
      <w:pPr>
        <w:pStyle w:val="null3"/>
      </w:pPr>
      <w:r>
        <w:rPr/>
        <w:t>4、社会保障资金缴纳证明：提供2023年07月01日至今已缴存的至少一个月的社会保障资金缴存单据或社保机构开具的社会保险参保缴费情况证明，依法不需要缴纳社会保障资金的单位应提供相关证明材料；</w:t>
      </w:r>
    </w:p>
    <w:p>
      <w:pPr>
        <w:pStyle w:val="null3"/>
      </w:pPr>
      <w:r>
        <w:rPr/>
        <w:t>5、无重大违法记录声明：参加政府采购活动前3年内，在经营活动中没有重大违法记录的书面声明；</w:t>
      </w:r>
    </w:p>
    <w:p>
      <w:pPr>
        <w:pStyle w:val="null3"/>
      </w:pPr>
      <w:r>
        <w:rPr/>
        <w:t>6、专业技术能力证明：具备履行合同所必需的设备和专业技术能力的证明材料(由供应商根据项目需求提供说明材料或者承诺)；</w:t>
      </w:r>
    </w:p>
    <w:p>
      <w:pPr>
        <w:pStyle w:val="null3"/>
      </w:pPr>
      <w:r>
        <w:rPr/>
        <w:t>7、法定代表人委托授权书\身份证明：磋商供应商应授权合法的人员参加磋商全过程，其中法定代表人直接参加磋商的，须出具法定代表人身份证，并与营业执照上信息一致。法定代表人授权代表参加磋商的，须出具法定代表人授权书及授权代表身份证；</w:t>
      </w:r>
    </w:p>
    <w:p>
      <w:pPr>
        <w:pStyle w:val="null3"/>
      </w:pPr>
      <w:r>
        <w:rPr/>
        <w:t>8、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pPr>
        <w:pStyle w:val="null3"/>
      </w:pPr>
      <w:r>
        <w:rPr/>
        <w:t>9、关联关系：单位负责人为同一人或者存在直接控股、管理关系的不同供应商，不得参加同一合同项下的政府采购活动。</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西安国际港务区发展改革局</w:t>
      </w:r>
    </w:p>
    <w:p>
      <w:pPr>
        <w:pStyle w:val="null3"/>
      </w:pPr>
      <w:r>
        <w:rPr/>
        <w:t xml:space="preserve"> 地址： </w:t>
      </w:r>
      <w:r>
        <w:rPr/>
        <w:t>西安国际港务区港务大道6号</w:t>
      </w:r>
    </w:p>
    <w:p>
      <w:pPr>
        <w:pStyle w:val="null3"/>
      </w:pPr>
      <w:r>
        <w:rPr/>
        <w:t xml:space="preserve"> 邮编： </w:t>
      </w:r>
      <w:r>
        <w:rPr/>
        <w:t>710026</w:t>
      </w:r>
    </w:p>
    <w:p>
      <w:pPr>
        <w:pStyle w:val="null3"/>
      </w:pPr>
      <w:r>
        <w:rPr/>
        <w:t xml:space="preserve"> 联系人： </w:t>
      </w:r>
      <w:r>
        <w:rPr/>
        <w:t>赵老师</w:t>
      </w:r>
    </w:p>
    <w:p>
      <w:pPr>
        <w:pStyle w:val="null3"/>
      </w:pPr>
      <w:r>
        <w:rPr/>
        <w:t xml:space="preserve"> 联系电话： </w:t>
      </w:r>
      <w:r>
        <w:rPr/>
        <w:t>029-83332445</w:t>
      </w:r>
    </w:p>
    <w:p>
      <w:pPr>
        <w:pStyle w:val="null3"/>
        <w:outlineLvl w:val="3"/>
      </w:pPr>
      <w:r>
        <w:rPr>
          <w:b/>
          <w:sz w:val="24"/>
        </w:rPr>
        <w:t>代理机构：</w:t>
      </w:r>
      <w:r>
        <w:rPr>
          <w:b/>
          <w:sz w:val="24"/>
        </w:rPr>
        <w:t>华晟国际项目管理有限公司</w:t>
      </w:r>
    </w:p>
    <w:p>
      <w:pPr>
        <w:pStyle w:val="null3"/>
      </w:pPr>
      <w:r>
        <w:rPr/>
        <w:t xml:space="preserve"> 地址： </w:t>
      </w:r>
      <w:r>
        <w:rPr/>
        <w:t>西安市高新路88号尚品国际B幢25层</w:t>
      </w:r>
    </w:p>
    <w:p>
      <w:pPr>
        <w:pStyle w:val="null3"/>
      </w:pPr>
      <w:r>
        <w:rPr/>
        <w:t xml:space="preserve"> 邮编： </w:t>
      </w:r>
      <w:r>
        <w:rPr/>
        <w:t>710065</w:t>
      </w:r>
    </w:p>
    <w:p>
      <w:pPr>
        <w:pStyle w:val="null3"/>
      </w:pPr>
      <w:r>
        <w:rPr/>
        <w:t xml:space="preserve"> 联系人： </w:t>
      </w:r>
      <w:r>
        <w:rPr/>
        <w:t>柴静、赵悦、张佳音</w:t>
      </w:r>
    </w:p>
    <w:p>
      <w:pPr>
        <w:pStyle w:val="null3"/>
      </w:pPr>
      <w:r>
        <w:rPr/>
        <w:t xml:space="preserve"> 联系电话： </w:t>
      </w:r>
      <w:r>
        <w:rPr/>
        <w:t>029-82665555转8003</w:t>
      </w:r>
    </w:p>
    <w:p>
      <w:pPr>
        <w:pStyle w:val="null3"/>
        <w:outlineLvl w:val="3"/>
      </w:pPr>
      <w:r>
        <w:rPr>
          <w:b/>
          <w:sz w:val="24"/>
        </w:rPr>
        <w:t>采购监督机构：</w:t>
      </w:r>
      <w:r>
        <w:rPr>
          <w:b/>
          <w:sz w:val="24"/>
        </w:rPr>
        <w:t>西安国际港务区财政金融局</w:t>
      </w:r>
    </w:p>
    <w:p>
      <w:pPr>
        <w:pStyle w:val="null3"/>
        <w:ind w:firstLine="480"/>
      </w:pPr>
      <w:r>
        <w:rPr/>
        <w:t>联系人：</w:t>
      </w:r>
      <w:r>
        <w:rPr/>
        <w:t>袁老师</w:t>
      </w:r>
    </w:p>
    <w:p>
      <w:pPr>
        <w:pStyle w:val="null3"/>
        <w:ind w:firstLine="480"/>
      </w:pPr>
      <w:r>
        <w:rPr/>
        <w:t>联系电话：</w:t>
      </w:r>
      <w:r>
        <w:rPr/>
        <w:t>029-89821848</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采购包1：542,400.00元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转账事由：GWZC-2024-016项目代理服务费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西安国际港务区发展改革局</w:t>
      </w:r>
      <w:r>
        <w:rPr/>
        <w:t>和</w:t>
      </w:r>
      <w:r>
        <w:rPr/>
        <w:t>华晟国际项目管理有限公司</w:t>
      </w:r>
      <w:r>
        <w:rPr/>
        <w:t>享有。对磋商文件中供应商参加本次政府采购活动应当具备的条件，磋商项目技术、服务、商务及其他要求，评审细则及标准由</w:t>
      </w:r>
      <w:r>
        <w:rPr/>
        <w:t>西安国际港务区发展改革局</w:t>
      </w:r>
      <w:r>
        <w:rPr/>
        <w:t>负责解释。除上述磋商文件内容，其他内容由</w:t>
      </w:r>
      <w:r>
        <w:rPr/>
        <w:t>华晟国际项目管理有限公司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西安国际港务区发展改革局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华晟国际项目管理有限公司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详见合同</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华晟国际项目管理有限公司</w:t>
      </w:r>
      <w:r>
        <w:rPr/>
        <w:t xml:space="preserve"> 负责答复；供应商对除采购需求外的采购文件的询问、质疑由</w:t>
      </w:r>
      <w:r>
        <w:rPr/>
        <w:t>华晟国际项目管理有限公司</w:t>
      </w:r>
      <w:r>
        <w:rPr/>
        <w:t xml:space="preserve"> 负责答复；供应商对采购过程、采购结果的询问、质疑由 </w:t>
      </w:r>
      <w:r>
        <w:rPr/>
        <w:t>华晟国际项目管理有限公司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联系人：柴静、赵悦、张佳音</w:t>
      </w:r>
    </w:p>
    <w:p>
      <w:pPr>
        <w:pStyle w:val="null3"/>
      </w:pPr>
      <w:r>
        <w:rPr/>
        <w:t>联系电话：029-82665555转8003</w:t>
      </w:r>
    </w:p>
    <w:p>
      <w:pPr>
        <w:pStyle w:val="null3"/>
      </w:pPr>
      <w:r>
        <w:rPr/>
        <w:t>地址：西安市高新路88号尚品国际B幢25层</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西安国际港务区2024年统计工作辅助服务，包含对企业开展报表催报、指标查询审核、企业统计人员培训等。</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542,400.00</w:t>
      </w:r>
    </w:p>
    <w:p>
      <w:pPr>
        <w:pStyle w:val="null3"/>
      </w:pPr>
      <w:r>
        <w:rPr/>
        <w:t>采购包最高限价（元）: 542,400.00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统计工作辅助服务</w:t>
            </w:r>
          </w:p>
        </w:tc>
        <w:tc>
          <w:tcPr>
            <w:tcW w:type="dxa" w:w="831"/>
          </w:tcPr>
          <w:p>
            <w:pPr>
              <w:pStyle w:val="null3"/>
              <w:jc w:val="right"/>
            </w:pPr>
            <w:r>
              <w:rPr/>
              <w:t>1.00</w:t>
            </w:r>
          </w:p>
        </w:tc>
        <w:tc>
          <w:tcPr>
            <w:tcW w:type="dxa" w:w="831"/>
          </w:tcPr>
          <w:p>
            <w:pPr>
              <w:pStyle w:val="null3"/>
              <w:jc w:val="right"/>
            </w:pPr>
            <w:r>
              <w:rPr/>
              <w:t>542,400.00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标的名称：统计工作辅助服务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quot;times new roman&quot;" w:hAnsi="&quot;times new roman&quot;" w:cs="&quot;times new roman&quot;" w:eastAsia="&quot;times new roman&quot;"/>
                <w:b/>
                <w:color w:val="000000"/>
                <w:sz w:val="24"/>
              </w:rPr>
              <w:t>一、</w:t>
            </w:r>
            <w:r>
              <w:rPr>
                <w:rFonts w:ascii="宋体" w:hAnsi="宋体" w:cs="宋体" w:eastAsia="宋体"/>
                <w:b/>
                <w:color w:val="000000"/>
                <w:sz w:val="24"/>
              </w:rPr>
              <w:t>项目概况</w:t>
            </w:r>
          </w:p>
          <w:p>
            <w:pPr>
              <w:pStyle w:val="null3"/>
              <w:ind w:firstLine="480"/>
              <w:jc w:val="both"/>
            </w:pPr>
            <w:r>
              <w:rPr>
                <w:rFonts w:ascii="宋体" w:hAnsi="宋体" w:cs="宋体" w:eastAsia="宋体"/>
                <w:color w:val="000000"/>
                <w:sz w:val="24"/>
              </w:rPr>
              <w:t>西安国际港务区</w:t>
            </w:r>
            <w:r>
              <w:rPr>
                <w:rFonts w:ascii="宋体" w:hAnsi="宋体" w:cs="宋体" w:eastAsia="宋体"/>
                <w:color w:val="000000"/>
                <w:sz w:val="24"/>
              </w:rPr>
              <w:t>2024年统计工作辅助服务，</w:t>
            </w:r>
            <w:r>
              <w:rPr>
                <w:rFonts w:ascii="宋体" w:hAnsi="宋体" w:cs="宋体" w:eastAsia="宋体"/>
                <w:color w:val="000000"/>
                <w:sz w:val="24"/>
              </w:rPr>
              <w:t>包含对企业开展报表催报、指标查询审核、企业统计人员培训等。</w:t>
            </w:r>
          </w:p>
          <w:p>
            <w:pPr>
              <w:pStyle w:val="null3"/>
              <w:jc w:val="both"/>
            </w:pPr>
            <w:r>
              <w:rPr>
                <w:rFonts w:ascii="宋体" w:hAnsi="宋体" w:cs="宋体" w:eastAsia="宋体"/>
                <w:b/>
                <w:color w:val="000000"/>
                <w:sz w:val="24"/>
              </w:rPr>
              <w:t>二、服务内容</w:t>
            </w:r>
          </w:p>
          <w:p>
            <w:pPr>
              <w:pStyle w:val="null3"/>
              <w:ind w:firstLine="480"/>
              <w:jc w:val="both"/>
            </w:pPr>
            <w:r>
              <w:rPr>
                <w:rFonts w:ascii="宋体" w:hAnsi="宋体" w:cs="宋体" w:eastAsia="宋体"/>
                <w:color w:val="000000"/>
                <w:sz w:val="24"/>
              </w:rPr>
              <w:t>服务地点</w:t>
            </w:r>
            <w:r>
              <w:rPr>
                <w:rFonts w:ascii="宋体" w:hAnsi="宋体" w:cs="宋体" w:eastAsia="宋体"/>
                <w:color w:val="000000"/>
                <w:sz w:val="28"/>
              </w:rPr>
              <w:t>：</w:t>
            </w:r>
            <w:r>
              <w:rPr>
                <w:rFonts w:ascii="宋体" w:hAnsi="宋体" w:cs="宋体" w:eastAsia="宋体"/>
                <w:color w:val="000000"/>
                <w:sz w:val="24"/>
              </w:rPr>
              <w:t>西安国际港务区发展改革局指定地点</w:t>
            </w:r>
          </w:p>
          <w:p>
            <w:pPr>
              <w:pStyle w:val="null3"/>
              <w:ind w:firstLine="480"/>
              <w:jc w:val="both"/>
            </w:pPr>
            <w:r>
              <w:rPr>
                <w:rFonts w:ascii="宋体" w:hAnsi="宋体" w:cs="宋体" w:eastAsia="宋体"/>
                <w:color w:val="000000"/>
                <w:sz w:val="24"/>
              </w:rPr>
              <w:t>服务内容：</w:t>
            </w:r>
          </w:p>
          <w:p>
            <w:pPr>
              <w:pStyle w:val="null3"/>
              <w:ind w:firstLine="480"/>
              <w:jc w:val="both"/>
            </w:pPr>
            <w:r>
              <w:rPr>
                <w:rFonts w:ascii="宋体" w:hAnsi="宋体" w:cs="宋体" w:eastAsia="宋体"/>
                <w:color w:val="000000"/>
                <w:sz w:val="24"/>
              </w:rPr>
              <w:t>1.配合发展</w:t>
            </w:r>
            <w:r>
              <w:rPr>
                <w:rFonts w:ascii="宋体" w:hAnsi="宋体" w:cs="宋体" w:eastAsia="宋体"/>
                <w:color w:val="000000"/>
                <w:sz w:val="24"/>
              </w:rPr>
              <w:t>改革局开展经济、社会等统计工作。</w:t>
            </w:r>
          </w:p>
          <w:p>
            <w:pPr>
              <w:pStyle w:val="null3"/>
              <w:ind w:firstLine="480"/>
              <w:jc w:val="both"/>
            </w:pPr>
            <w:r>
              <w:rPr>
                <w:rFonts w:ascii="宋体" w:hAnsi="宋体" w:cs="宋体" w:eastAsia="宋体"/>
                <w:color w:val="000000"/>
                <w:sz w:val="24"/>
              </w:rPr>
              <w:t>2.配合发展改革局开展部门统计工作。</w:t>
            </w:r>
          </w:p>
          <w:p>
            <w:pPr>
              <w:pStyle w:val="null3"/>
              <w:ind w:firstLine="480"/>
              <w:jc w:val="both"/>
            </w:pPr>
            <w:r>
              <w:rPr>
                <w:rFonts w:ascii="宋体" w:hAnsi="宋体" w:cs="宋体" w:eastAsia="宋体"/>
                <w:color w:val="000000"/>
                <w:sz w:val="24"/>
              </w:rPr>
              <w:t>3.配合发展改革局开展工业、建筑业、房地产、投资、批零、住餐、服务业、人口等统计专业统计工作，对接市统计局相关处室工作。</w:t>
            </w:r>
          </w:p>
          <w:p>
            <w:pPr>
              <w:pStyle w:val="null3"/>
              <w:ind w:firstLine="480"/>
              <w:jc w:val="both"/>
            </w:pPr>
            <w:r>
              <w:rPr>
                <w:rFonts w:ascii="宋体" w:hAnsi="宋体" w:cs="宋体" w:eastAsia="宋体"/>
                <w:color w:val="000000"/>
                <w:sz w:val="24"/>
              </w:rPr>
              <w:t>4.开展统计专业五上、五下企业月度、季度、年度数据收集、催报、审核、上报工作。</w:t>
            </w:r>
          </w:p>
          <w:p>
            <w:pPr>
              <w:pStyle w:val="null3"/>
              <w:ind w:firstLine="480"/>
              <w:jc w:val="both"/>
            </w:pPr>
            <w:r>
              <w:rPr>
                <w:rFonts w:ascii="宋体" w:hAnsi="宋体" w:cs="宋体" w:eastAsia="宋体"/>
                <w:color w:val="000000"/>
                <w:sz w:val="24"/>
              </w:rPr>
              <w:t>5.开展月度、季度、年度统计数据汇总、整理、分析等工作。</w:t>
            </w:r>
          </w:p>
          <w:p>
            <w:pPr>
              <w:pStyle w:val="null3"/>
              <w:ind w:firstLine="480"/>
              <w:jc w:val="both"/>
            </w:pPr>
            <w:r>
              <w:rPr>
                <w:rFonts w:ascii="宋体" w:hAnsi="宋体" w:cs="宋体" w:eastAsia="宋体"/>
                <w:color w:val="000000"/>
                <w:sz w:val="24"/>
              </w:rPr>
              <w:t>6.开展统计数据质量核查等工作。</w:t>
            </w:r>
          </w:p>
          <w:p>
            <w:pPr>
              <w:pStyle w:val="null3"/>
              <w:ind w:firstLine="480"/>
              <w:jc w:val="both"/>
            </w:pPr>
            <w:r>
              <w:rPr>
                <w:rFonts w:ascii="宋体" w:hAnsi="宋体" w:cs="宋体" w:eastAsia="宋体"/>
                <w:color w:val="000000"/>
                <w:sz w:val="24"/>
              </w:rPr>
              <w:t>7.更新和维护基本单位名录库信息数据，以及新增企业的收集、录入、审核、实地核查等工作。</w:t>
            </w:r>
          </w:p>
          <w:p>
            <w:pPr>
              <w:pStyle w:val="null3"/>
              <w:ind w:firstLine="480"/>
              <w:jc w:val="both"/>
            </w:pPr>
            <w:r>
              <w:rPr>
                <w:rFonts w:ascii="宋体" w:hAnsi="宋体" w:cs="宋体" w:eastAsia="宋体"/>
                <w:color w:val="000000"/>
                <w:sz w:val="24"/>
              </w:rPr>
              <w:t>8.开展新增企业统计工作的指导、培训、上报等工作。</w:t>
            </w:r>
          </w:p>
          <w:p>
            <w:pPr>
              <w:pStyle w:val="null3"/>
              <w:ind w:firstLine="480"/>
              <w:jc w:val="both"/>
            </w:pPr>
            <w:r>
              <w:rPr>
                <w:rFonts w:ascii="宋体" w:hAnsi="宋体" w:cs="宋体" w:eastAsia="宋体"/>
                <w:color w:val="000000"/>
                <w:sz w:val="24"/>
              </w:rPr>
              <w:t>9.配合上级及本区双随机等各类检查督察，完成督察检查资料整理汇总工作。</w:t>
            </w:r>
          </w:p>
          <w:p>
            <w:pPr>
              <w:pStyle w:val="null3"/>
              <w:ind w:firstLine="480"/>
              <w:jc w:val="both"/>
            </w:pPr>
            <w:r>
              <w:rPr>
                <w:rFonts w:ascii="宋体" w:hAnsi="宋体" w:cs="宋体" w:eastAsia="宋体"/>
                <w:color w:val="000000"/>
                <w:sz w:val="24"/>
              </w:rPr>
              <w:t>10.配合发展改革局做好日常各类普查调查工作。</w:t>
            </w:r>
          </w:p>
          <w:p>
            <w:pPr>
              <w:pStyle w:val="null3"/>
              <w:jc w:val="both"/>
            </w:pPr>
            <w:r>
              <w:rPr>
                <w:rFonts w:ascii="宋体" w:hAnsi="宋体" w:cs="宋体" w:eastAsia="宋体"/>
                <w:b/>
                <w:color w:val="000000"/>
                <w:sz w:val="24"/>
              </w:rPr>
              <w:t>三</w:t>
            </w:r>
            <w:r>
              <w:rPr>
                <w:rFonts w:ascii="宋体" w:hAnsi="宋体" w:cs="宋体" w:eastAsia="宋体"/>
                <w:b/>
                <w:color w:val="000000"/>
                <w:sz w:val="24"/>
              </w:rPr>
              <w:t>、服务要求</w:t>
            </w:r>
          </w:p>
          <w:p>
            <w:pPr>
              <w:pStyle w:val="null3"/>
              <w:ind w:firstLine="480"/>
              <w:jc w:val="both"/>
            </w:pPr>
            <w:r>
              <w:rPr>
                <w:rFonts w:ascii="宋体" w:hAnsi="宋体" w:cs="宋体" w:eastAsia="宋体"/>
                <w:color w:val="000000"/>
                <w:sz w:val="24"/>
              </w:rPr>
              <w:t>1.服务</w:t>
            </w:r>
            <w:r>
              <w:rPr>
                <w:rFonts w:ascii="宋体" w:hAnsi="宋体" w:cs="宋体" w:eastAsia="宋体"/>
                <w:color w:val="000000"/>
                <w:sz w:val="24"/>
              </w:rPr>
              <w:t>人员数量应不少于</w:t>
            </w:r>
            <w:r>
              <w:rPr>
                <w:rFonts w:ascii="宋体" w:hAnsi="宋体" w:cs="宋体" w:eastAsia="宋体"/>
                <w:color w:val="000000"/>
                <w:sz w:val="24"/>
              </w:rPr>
              <w:t>5人，要求驻场服务，服从发展改革局的管理。</w:t>
            </w:r>
          </w:p>
          <w:p>
            <w:pPr>
              <w:pStyle w:val="null3"/>
              <w:ind w:firstLine="480"/>
              <w:jc w:val="both"/>
            </w:pPr>
            <w:r>
              <w:rPr>
                <w:rFonts w:ascii="宋体" w:hAnsi="宋体" w:cs="宋体" w:eastAsia="宋体"/>
                <w:color w:val="000000"/>
                <w:sz w:val="24"/>
              </w:rPr>
              <w:t>2.服务人员要求大学</w:t>
            </w:r>
            <w:r>
              <w:rPr>
                <w:rFonts w:ascii="宋体" w:hAnsi="宋体" w:cs="宋体" w:eastAsia="宋体"/>
                <w:color w:val="000000"/>
                <w:sz w:val="24"/>
              </w:rPr>
              <w:t>本科</w:t>
            </w:r>
            <w:r>
              <w:rPr>
                <w:rFonts w:ascii="宋体" w:hAnsi="宋体" w:cs="宋体" w:eastAsia="宋体"/>
                <w:color w:val="000000"/>
                <w:sz w:val="24"/>
              </w:rPr>
              <w:t>学历，具有相关工作经验。</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服务人员要相对固定。对日常服务事项要求定人、定职责、定标准，确保工作严格落实到位。</w:t>
            </w:r>
          </w:p>
          <w:p>
            <w:pPr>
              <w:pStyle w:val="null3"/>
              <w:ind w:firstLine="480"/>
              <w:jc w:val="both"/>
            </w:pPr>
            <w:r>
              <w:rPr>
                <w:rFonts w:ascii="宋体" w:hAnsi="宋体" w:cs="宋体" w:eastAsia="宋体"/>
                <w:color w:val="000000"/>
                <w:sz w:val="24"/>
              </w:rPr>
              <w:t>4.</w:t>
            </w:r>
            <w:r>
              <w:rPr>
                <w:rFonts w:ascii="宋体" w:hAnsi="宋体" w:cs="宋体" w:eastAsia="宋体"/>
                <w:color w:val="000000"/>
                <w:sz w:val="24"/>
              </w:rPr>
              <w:t>服务人员管理制度健全，管理得当。制定工作计划和工作总结制度。</w:t>
            </w:r>
          </w:p>
          <w:p>
            <w:pPr>
              <w:pStyle w:val="null3"/>
              <w:ind w:firstLine="480"/>
              <w:jc w:val="both"/>
            </w:pPr>
            <w:r>
              <w:rPr>
                <w:rFonts w:ascii="宋体" w:hAnsi="宋体" w:cs="宋体" w:eastAsia="宋体"/>
                <w:color w:val="000000"/>
                <w:sz w:val="24"/>
              </w:rPr>
              <w:t>5.</w:t>
            </w:r>
            <w:r>
              <w:rPr>
                <w:rFonts w:ascii="宋体" w:hAnsi="宋体" w:cs="宋体" w:eastAsia="宋体"/>
                <w:color w:val="000000"/>
                <w:sz w:val="24"/>
              </w:rPr>
              <w:t>严格按照</w:t>
            </w:r>
            <w:r>
              <w:rPr>
                <w:rFonts w:ascii="宋体" w:hAnsi="宋体" w:cs="宋体" w:eastAsia="宋体"/>
                <w:color w:val="000000"/>
                <w:sz w:val="24"/>
              </w:rPr>
              <w:t>采购人</w:t>
            </w:r>
            <w:r>
              <w:rPr>
                <w:rFonts w:ascii="宋体" w:hAnsi="宋体" w:cs="宋体" w:eastAsia="宋体"/>
                <w:color w:val="000000"/>
                <w:sz w:val="24"/>
              </w:rPr>
              <w:t>要求开展工作，工作要有记录要有佐证。</w:t>
            </w:r>
          </w:p>
          <w:p>
            <w:pPr>
              <w:pStyle w:val="null3"/>
              <w:ind w:firstLine="480"/>
              <w:jc w:val="both"/>
            </w:pPr>
            <w:r>
              <w:rPr>
                <w:rFonts w:ascii="宋体" w:hAnsi="宋体" w:cs="宋体" w:eastAsia="宋体"/>
                <w:color w:val="000000"/>
                <w:sz w:val="24"/>
              </w:rPr>
              <w:t>6.</w:t>
            </w:r>
            <w:r>
              <w:rPr>
                <w:rFonts w:ascii="宋体" w:hAnsi="宋体" w:cs="宋体" w:eastAsia="宋体"/>
                <w:color w:val="000000"/>
                <w:sz w:val="24"/>
              </w:rPr>
              <w:t>及时处理采购人反馈或交办的问题。</w:t>
            </w:r>
          </w:p>
          <w:p>
            <w:pPr>
              <w:pStyle w:val="null3"/>
              <w:jc w:val="both"/>
            </w:pPr>
            <w:r>
              <w:rPr>
                <w:rFonts w:ascii="宋体" w:hAnsi="宋体" w:cs="宋体" w:eastAsia="宋体"/>
                <w:b/>
                <w:color w:val="000000"/>
                <w:sz w:val="24"/>
              </w:rPr>
              <w:t>四、商务要求</w:t>
            </w:r>
          </w:p>
          <w:p>
            <w:pPr>
              <w:pStyle w:val="null3"/>
              <w:ind w:firstLine="480"/>
              <w:jc w:val="both"/>
            </w:pPr>
            <w:r>
              <w:rPr>
                <w:rFonts w:ascii="宋体" w:hAnsi="宋体" w:cs="宋体" w:eastAsia="宋体"/>
                <w:color w:val="000000"/>
                <w:sz w:val="24"/>
              </w:rPr>
              <w:t>（一）服务期限</w:t>
            </w:r>
          </w:p>
          <w:p>
            <w:pPr>
              <w:pStyle w:val="null3"/>
              <w:ind w:firstLine="480"/>
              <w:jc w:val="both"/>
            </w:pPr>
            <w:r>
              <w:rPr>
                <w:rFonts w:ascii="宋体" w:hAnsi="宋体" w:cs="宋体" w:eastAsia="宋体"/>
                <w:color w:val="000000"/>
                <w:sz w:val="24"/>
              </w:rPr>
              <w:t>服务期限：自合同签订之日起一年。</w:t>
            </w:r>
          </w:p>
          <w:p>
            <w:pPr>
              <w:pStyle w:val="null3"/>
              <w:ind w:firstLine="480"/>
              <w:jc w:val="both"/>
            </w:pPr>
            <w:r>
              <w:rPr>
                <w:rFonts w:ascii="宋体" w:hAnsi="宋体" w:cs="宋体" w:eastAsia="宋体"/>
                <w:color w:val="000000"/>
                <w:sz w:val="24"/>
              </w:rPr>
              <w:t>（二）款项结算</w:t>
            </w:r>
          </w:p>
          <w:p>
            <w:pPr>
              <w:pStyle w:val="null3"/>
              <w:ind w:firstLine="480"/>
              <w:jc w:val="both"/>
            </w:pPr>
            <w:r>
              <w:rPr>
                <w:rFonts w:ascii="宋体" w:hAnsi="宋体" w:cs="宋体" w:eastAsia="宋体"/>
                <w:color w:val="000000"/>
                <w:sz w:val="24"/>
              </w:rPr>
              <w:t>合同款的支付：</w:t>
            </w:r>
            <w:r>
              <w:rPr>
                <w:rFonts w:ascii="宋体" w:hAnsi="宋体" w:cs="宋体" w:eastAsia="宋体"/>
                <w:color w:val="000000"/>
                <w:sz w:val="24"/>
              </w:rPr>
              <w:t>合同签订后，一季度末乙方应向甲方出具书面付款通知（注明开户行及账户信息）以及符合国家财税规定的增值税发票，达到付款条件起</w:t>
            </w:r>
            <w:r>
              <w:rPr>
                <w:rFonts w:ascii="宋体" w:hAnsi="宋体" w:cs="宋体" w:eastAsia="宋体"/>
                <w:color w:val="000000"/>
                <w:sz w:val="24"/>
              </w:rPr>
              <w:t>30日内，支付合同总金额的25.00%。</w:t>
            </w:r>
          </w:p>
          <w:p>
            <w:pPr>
              <w:pStyle w:val="null3"/>
              <w:ind w:firstLine="480"/>
              <w:jc w:val="both"/>
            </w:pPr>
            <w:r>
              <w:rPr>
                <w:rFonts w:ascii="宋体" w:hAnsi="宋体" w:cs="宋体" w:eastAsia="宋体"/>
                <w:color w:val="000000"/>
                <w:sz w:val="24"/>
              </w:rPr>
              <w:t>二季度末乙方应向甲方出具书面付款通知（注明开户行及账户信息）以及符合国家财税规定的增值税发票，达到付款条件起</w:t>
            </w:r>
            <w:r>
              <w:rPr>
                <w:rFonts w:ascii="宋体" w:hAnsi="宋体" w:cs="宋体" w:eastAsia="宋体"/>
                <w:color w:val="000000"/>
                <w:sz w:val="24"/>
              </w:rPr>
              <w:t>30日内，支付合同总金额的25.00%。</w:t>
            </w:r>
          </w:p>
          <w:p>
            <w:pPr>
              <w:pStyle w:val="null3"/>
              <w:ind w:firstLine="480"/>
              <w:jc w:val="both"/>
            </w:pPr>
            <w:r>
              <w:rPr>
                <w:rFonts w:ascii="宋体" w:hAnsi="宋体" w:cs="宋体" w:eastAsia="宋体"/>
                <w:color w:val="000000"/>
                <w:sz w:val="24"/>
              </w:rPr>
              <w:t>三季度末乙方应向甲方出具书面付款通知（注明开户行及账户信息）以及符合国家财税规定的增值税发票，达到付款条件起</w:t>
            </w:r>
            <w:r>
              <w:rPr>
                <w:rFonts w:ascii="宋体" w:hAnsi="宋体" w:cs="宋体" w:eastAsia="宋体"/>
                <w:color w:val="000000"/>
                <w:sz w:val="24"/>
              </w:rPr>
              <w:t>30日内，支付合同总金额的25.00%。</w:t>
            </w:r>
          </w:p>
          <w:p>
            <w:pPr>
              <w:pStyle w:val="null3"/>
              <w:ind w:firstLine="480"/>
              <w:jc w:val="both"/>
            </w:pPr>
            <w:r>
              <w:rPr>
                <w:rFonts w:ascii="宋体" w:hAnsi="宋体" w:cs="宋体" w:eastAsia="宋体"/>
                <w:color w:val="000000"/>
                <w:sz w:val="24"/>
              </w:rPr>
              <w:t>合同期满乙方应向甲方出具书面付款通知（注明开户行及账户信息）以及符合国家财税规定的增值税发票，达到付款条件起</w:t>
            </w:r>
            <w:r>
              <w:rPr>
                <w:rFonts w:ascii="宋体" w:hAnsi="宋体" w:cs="宋体" w:eastAsia="宋体"/>
                <w:color w:val="000000"/>
                <w:sz w:val="24"/>
              </w:rPr>
              <w:t>30日内，支付合同总金额的25.00%。</w:t>
            </w:r>
          </w:p>
          <w:p>
            <w:pPr>
              <w:pStyle w:val="null3"/>
              <w:jc w:val="both"/>
            </w:pPr>
            <w:r>
              <w:rPr>
                <w:rFonts w:ascii="宋体" w:hAnsi="宋体" w:cs="宋体" w:eastAsia="宋体"/>
                <w:b/>
                <w:color w:val="000000"/>
                <w:sz w:val="24"/>
              </w:rPr>
              <w:t>五、其他</w:t>
            </w:r>
          </w:p>
          <w:p>
            <w:pPr>
              <w:pStyle w:val="null3"/>
              <w:ind w:firstLine="480"/>
              <w:jc w:val="both"/>
            </w:pPr>
            <w:r>
              <w:rPr>
                <w:rFonts w:ascii="宋体" w:hAnsi="宋体" w:cs="宋体" w:eastAsia="宋体"/>
                <w:color w:val="000000"/>
                <w:sz w:val="24"/>
              </w:rPr>
              <w:t>（一）进度要求</w:t>
            </w:r>
          </w:p>
          <w:p>
            <w:pPr>
              <w:pStyle w:val="null3"/>
              <w:ind w:firstLine="480"/>
              <w:jc w:val="both"/>
            </w:pPr>
            <w:r>
              <w:rPr>
                <w:rFonts w:ascii="宋体" w:hAnsi="宋体" w:cs="宋体" w:eastAsia="宋体"/>
                <w:color w:val="000000"/>
                <w:sz w:val="24"/>
              </w:rPr>
              <w:t>合同签订后</w:t>
            </w:r>
            <w:r>
              <w:rPr>
                <w:rFonts w:ascii="宋体" w:hAnsi="宋体" w:cs="宋体" w:eastAsia="宋体"/>
                <w:color w:val="000000"/>
                <w:sz w:val="24"/>
              </w:rPr>
              <w:t>1周以内能开展服务工作。</w:t>
            </w:r>
          </w:p>
          <w:p>
            <w:pPr>
              <w:pStyle w:val="null3"/>
              <w:ind w:firstLine="480"/>
              <w:jc w:val="both"/>
            </w:pPr>
            <w:r>
              <w:rPr>
                <w:rFonts w:ascii="宋体" w:hAnsi="宋体" w:cs="宋体" w:eastAsia="宋体"/>
                <w:color w:val="000000"/>
                <w:sz w:val="24"/>
              </w:rPr>
              <w:t>（二）质量验收标准或规范</w:t>
            </w:r>
          </w:p>
          <w:p>
            <w:pPr>
              <w:pStyle w:val="null3"/>
              <w:ind w:firstLine="480"/>
              <w:jc w:val="both"/>
            </w:pPr>
            <w:r>
              <w:rPr>
                <w:rFonts w:ascii="宋体" w:hAnsi="宋体" w:cs="宋体" w:eastAsia="宋体"/>
                <w:color w:val="000000"/>
                <w:sz w:val="24"/>
              </w:rPr>
              <w:t>乙方满足甲方人数和服务质量要求，经甲方与成交乙方双方负责人确认，对达不到本项目要求所述条件要求的人员进行更换。</w:t>
            </w:r>
          </w:p>
          <w:p>
            <w:pPr>
              <w:pStyle w:val="null3"/>
              <w:ind w:firstLine="480"/>
              <w:jc w:val="both"/>
            </w:pPr>
            <w:r>
              <w:rPr>
                <w:rFonts w:ascii="宋体" w:hAnsi="宋体" w:cs="宋体" w:eastAsia="宋体"/>
                <w:color w:val="000000"/>
                <w:sz w:val="24"/>
              </w:rPr>
              <w:t>（三）违约责任</w:t>
            </w:r>
          </w:p>
          <w:p>
            <w:pPr>
              <w:pStyle w:val="null3"/>
              <w:ind w:firstLine="480"/>
              <w:jc w:val="both"/>
            </w:pPr>
            <w:r>
              <w:rPr>
                <w:rFonts w:ascii="宋体" w:hAnsi="宋体" w:cs="宋体" w:eastAsia="宋体"/>
                <w:color w:val="000000"/>
                <w:sz w:val="24"/>
              </w:rPr>
              <w:t>1、按《中华人民共和国民法典》中的相关条款执行。</w:t>
            </w:r>
          </w:p>
          <w:p>
            <w:pPr>
              <w:pStyle w:val="null3"/>
              <w:ind w:firstLine="480"/>
              <w:jc w:val="both"/>
            </w:pPr>
            <w:r>
              <w:rPr>
                <w:rFonts w:ascii="宋体" w:hAnsi="宋体" w:cs="宋体" w:eastAsia="宋体"/>
                <w:color w:val="000000"/>
                <w:sz w:val="24"/>
              </w:rPr>
              <w:t>2、未按合同要求提供服务或服务质量不能满足本次项目要求，甲方有权终止合同和对乙方违约行为进行追究，同时按有关规定进行相应的处罚。</w:t>
            </w:r>
          </w:p>
          <w:p>
            <w:pPr>
              <w:pStyle w:val="null3"/>
              <w:jc w:val="both"/>
            </w:pPr>
          </w:p>
        </w:tc>
      </w:tr>
    </w:tbl>
    <w:p>
      <w:pPr>
        <w:pStyle w:val="null3"/>
        <w:outlineLvl w:val="2"/>
      </w:pPr>
      <w:r>
        <w:rPr>
          <w:b/>
          <w:sz w:val="28"/>
        </w:rPr>
        <w:t>3.2.3人员配置要求</w:t>
      </w:r>
    </w:p>
    <w:p>
      <w:pPr>
        <w:pStyle w:val="null3"/>
      </w:pPr>
      <w:r>
        <w:rPr/>
        <w:t>采购包1：</w:t>
      </w:r>
    </w:p>
    <w:p>
      <w:pPr>
        <w:pStyle w:val="null3"/>
      </w:pPr>
      <w:r>
        <w:rPr/>
        <w:t>供应商根据服务要求自行响应</w:t>
      </w:r>
    </w:p>
    <w:p>
      <w:pPr>
        <w:pStyle w:val="null3"/>
        <w:outlineLvl w:val="2"/>
      </w:pPr>
      <w:r>
        <w:rPr>
          <w:b/>
          <w:sz w:val="28"/>
        </w:rPr>
        <w:t>3.2.4设施设备要求</w:t>
      </w:r>
    </w:p>
    <w:p>
      <w:pPr>
        <w:pStyle w:val="null3"/>
      </w:pPr>
      <w:r>
        <w:rPr/>
        <w:t>采购包1：</w:t>
      </w:r>
    </w:p>
    <w:p>
      <w:pPr>
        <w:pStyle w:val="null3"/>
      </w:pPr>
      <w:r>
        <w:rPr/>
        <w:t>供应商根据服务要求自行响应</w:t>
      </w:r>
    </w:p>
    <w:p>
      <w:pPr>
        <w:pStyle w:val="null3"/>
        <w:outlineLvl w:val="2"/>
      </w:pPr>
      <w:r>
        <w:rPr>
          <w:b/>
          <w:sz w:val="28"/>
        </w:rPr>
        <w:t>3.2.5其他要求</w:t>
      </w:r>
    </w:p>
    <w:p>
      <w:pPr>
        <w:pStyle w:val="null3"/>
      </w:pPr>
      <w:r>
        <w:rPr/>
        <w:t>采购包1：</w:t>
      </w:r>
    </w:p>
    <w:p>
      <w:pPr>
        <w:pStyle w:val="null3"/>
      </w:pPr>
      <w:r>
        <w:rPr/>
        <w:t>详见服务要求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自合同签订之日起一年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详见合同</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合同签订后，一季度末乙方应向甲方出具书面付款通知（注明开户行及账户信息）以及符合国家财税规定的增值税发票</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二季度末乙方应向甲方出具书面付款通知（注明开户行及账户信息）以及符合国家财税规定的增值税发票</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三季度末乙方应向甲方出具书面付款通知（注明开户行及账户信息）以及符合国家财税规定的增值税发票</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合同期满乙方应向甲方出具书面付款通知（注明开户行及账户信息）以及符合国家财税规定的增值税发票</w:t>
      </w:r>
      <w:r>
        <w:rPr/>
        <w:t xml:space="preserve"> ，达到付款条件起 </w:t>
      </w:r>
      <w:r>
        <w:rPr/>
        <w:t>30</w:t>
      </w:r>
      <w:r>
        <w:rPr/>
        <w:t xml:space="preserve"> 日内，支付合同总金额的 </w:t>
      </w:r>
      <w:r>
        <w:rPr/>
        <w:t>25.00</w:t>
      </w:r>
      <w:r>
        <w:rPr/>
        <w:t>%。</w:t>
      </w:r>
    </w:p>
    <w:p>
      <w:pPr>
        <w:pStyle w:val="null3"/>
        <w:outlineLvl w:val="3"/>
      </w:pPr>
      <w:r>
        <w:rPr>
          <w:b/>
          <w:sz w:val="24"/>
        </w:rPr>
        <w:t>3.3.6违约责任及解决争议的方法</w:t>
      </w:r>
    </w:p>
    <w:p>
      <w:pPr>
        <w:pStyle w:val="null3"/>
      </w:pPr>
      <w:r>
        <w:rPr/>
        <w:t>采购包1：</w:t>
      </w:r>
    </w:p>
    <w:p>
      <w:pPr>
        <w:pStyle w:val="null3"/>
      </w:pPr>
      <w:r>
        <w:rPr/>
        <w:t>详见合同</w:t>
      </w:r>
    </w:p>
    <w:p>
      <w:pPr>
        <w:pStyle w:val="null3"/>
        <w:outlineLvl w:val="2"/>
      </w:pPr>
      <w:r>
        <w:rPr>
          <w:b/>
          <w:sz w:val="28"/>
        </w:rPr>
        <w:t>3.4其他要求</w:t>
      </w:r>
    </w:p>
    <w:p>
      <w:pPr>
        <w:pStyle w:val="null3"/>
      </w:pPr>
      <w:r>
        <w:rPr/>
        <w:t>1.服务标准：符合国家及行业有关现行规范、标准的要求； 2.合同价款：合同采用固定总价 注：本项目计价模式为固定总价，磋商报价包括但不限于指项目完成并经验收合格的所有费用，包括项目费用、国家按现行税收政策征收的一切税费等。</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提供2022年度的财务审计报告或开标前六个月内其基本存款账户开户银行出具的资信证明（附开户许可证或开户备案证明或基本账户信息）；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提供2023年07月01日至今已缴存的至少一个月的纳税证明或完税证明，依法免税的单位应提供相关证明材料；</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提供2023年07月01日至今已缴存的至少一个月的社会保障资金缴存单据或社保机构开具的社会保险参保缴费情况证明，依法不需要缴纳社会保障资金的单位应提供相关证明材料；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专业技术能力证明</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法定代表人委托授权书\身份证明</w:t>
            </w:r>
          </w:p>
        </w:tc>
        <w:tc>
          <w:tcPr>
            <w:tcW w:type="dxa" w:w="3322"/>
          </w:tcPr>
          <w:p>
            <w:pPr>
              <w:pStyle w:val="null3"/>
            </w:pPr>
            <w:r>
              <w:rPr/>
              <w:t>磋商供应商应授权合法的人员参加磋商全过程，其中法定代表人直接参加磋商的，须出具法定代表人身份证，并与营业执照上信息一致。法定代表人授权代表参加磋商的，须出具法定代表人授权书及授权代表身份证；</w:t>
            </w:r>
          </w:p>
        </w:tc>
        <w:tc>
          <w:tcPr>
            <w:tcW w:type="dxa" w:w="1661"/>
          </w:tcPr>
          <w:p>
            <w:pPr>
              <w:pStyle w:val="null3"/>
            </w:pPr>
            <w:r>
              <w:rPr/>
              <w:t>资格证明文件 法定代表人证明书及法定代表人授权书</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关联关系</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资格证明文件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与项目的一致性</w:t>
            </w:r>
          </w:p>
        </w:tc>
        <w:tc>
          <w:tcPr>
            <w:tcW w:type="dxa" w:w="3322"/>
          </w:tcPr>
          <w:p>
            <w:pPr>
              <w:pStyle w:val="null3"/>
            </w:pPr>
            <w:r>
              <w:rPr/>
              <w:t>磋商内容未出现漏项或数量与要求不符，未出现重大负偏差；</w:t>
            </w:r>
          </w:p>
        </w:tc>
        <w:tc>
          <w:tcPr>
            <w:tcW w:type="dxa" w:w="1661"/>
          </w:tcPr>
          <w:p>
            <w:pPr>
              <w:pStyle w:val="null3"/>
            </w:pPr>
            <w:r>
              <w:rPr/>
              <w:t>商务偏离表 法定代表人证明书及法定代表人授权书 服务需求响应表</w:t>
            </w:r>
          </w:p>
        </w:tc>
      </w:tr>
      <w:tr>
        <w:tc>
          <w:tcPr>
            <w:tcW w:type="dxa" w:w="831"/>
          </w:tcPr>
          <w:p>
            <w:pPr>
              <w:pStyle w:val="null3"/>
            </w:pPr>
            <w:r>
              <w:rPr/>
              <w:t>2</w:t>
            </w:r>
          </w:p>
        </w:tc>
        <w:tc>
          <w:tcPr>
            <w:tcW w:type="dxa" w:w="2492"/>
          </w:tcPr>
          <w:p>
            <w:pPr>
              <w:pStyle w:val="null3"/>
            </w:pPr>
            <w:r>
              <w:rPr/>
              <w:t>签署</w:t>
            </w:r>
          </w:p>
        </w:tc>
        <w:tc>
          <w:tcPr>
            <w:tcW w:type="dxa" w:w="3322"/>
          </w:tcPr>
          <w:p>
            <w:pPr>
              <w:pStyle w:val="null3"/>
            </w:pPr>
            <w:r>
              <w:rPr/>
              <w:t>磋商响应文件的签署、加盖公章有效；</w:t>
            </w:r>
          </w:p>
        </w:tc>
        <w:tc>
          <w:tcPr>
            <w:tcW w:type="dxa" w:w="1661"/>
          </w:tcPr>
          <w:p>
            <w:pPr>
              <w:pStyle w:val="null3"/>
            </w:pPr>
            <w:r>
              <w:rPr/>
              <w:t>响应文件封面 资格证明文件 商务偏离表 磋商响应单位承诺书 标的清单 报价表 分项报价明细表 响应函 法定代表人证明书及法定代表人授权书 服务需求响应表</w:t>
            </w:r>
          </w:p>
        </w:tc>
      </w:tr>
      <w:tr>
        <w:tc>
          <w:tcPr>
            <w:tcW w:type="dxa" w:w="831"/>
          </w:tcPr>
          <w:p>
            <w:pPr>
              <w:pStyle w:val="null3"/>
            </w:pPr>
            <w:r>
              <w:rPr/>
              <w:t>3</w:t>
            </w:r>
          </w:p>
        </w:tc>
        <w:tc>
          <w:tcPr>
            <w:tcW w:type="dxa" w:w="2492"/>
          </w:tcPr>
          <w:p>
            <w:pPr>
              <w:pStyle w:val="null3"/>
            </w:pPr>
            <w:r>
              <w:rPr/>
              <w:t>有效期</w:t>
            </w:r>
          </w:p>
        </w:tc>
        <w:tc>
          <w:tcPr>
            <w:tcW w:type="dxa" w:w="3322"/>
          </w:tcPr>
          <w:p>
            <w:pPr>
              <w:pStyle w:val="null3"/>
            </w:pPr>
            <w:r>
              <w:rPr/>
              <w:t>磋商响应文件按有效期达到磋商文件的要求；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其他无效情形</w:t>
            </w:r>
          </w:p>
        </w:tc>
        <w:tc>
          <w:tcPr>
            <w:tcW w:type="dxa" w:w="3322"/>
          </w:tcPr>
          <w:p>
            <w:pPr>
              <w:pStyle w:val="null3"/>
            </w:pPr>
            <w:r>
              <w:rPr/>
              <w:t>完全理解并接受法律法规和磋商文件对供应商合法经营的各类规约和责任义务要求，未出现法律、法规或磋商文件规定的其他无效情形的。</w:t>
            </w:r>
          </w:p>
        </w:tc>
        <w:tc>
          <w:tcPr>
            <w:tcW w:type="dxa" w:w="1661"/>
          </w:tcPr>
          <w:p>
            <w:pPr>
              <w:pStyle w:val="null3"/>
            </w:pPr>
            <w:r>
              <w:rPr/>
              <w:t>中小企业声明函 报价表 分项报价明细表 法定代表人证明书及法定代表人授权书 服务需求响应表 响应文件封面 磋商响应方案说明 资格证明文件 类似项目业绩 商务偏离表 残疾人福利性单位声明函 磋商响应单位承诺书 标的清单 响应函 监狱企业的证明文件</w:t>
            </w:r>
          </w:p>
        </w:tc>
      </w:tr>
      <w:tr>
        <w:tc>
          <w:tcPr>
            <w:tcW w:type="dxa" w:w="831"/>
          </w:tcPr>
          <w:p>
            <w:pPr>
              <w:pStyle w:val="null3"/>
            </w:pPr>
            <w:r>
              <w:rPr/>
              <w:t>5</w:t>
            </w:r>
          </w:p>
        </w:tc>
        <w:tc>
          <w:tcPr>
            <w:tcW w:type="dxa" w:w="2492"/>
          </w:tcPr>
          <w:p>
            <w:pPr>
              <w:pStyle w:val="null3"/>
            </w:pPr>
            <w:r>
              <w:rPr/>
              <w:t>不正当竞争预防措施（实质性要求）</w:t>
            </w:r>
          </w:p>
        </w:tc>
        <w:tc>
          <w:tcPr>
            <w:tcW w:type="dxa" w:w="3322"/>
          </w:tcPr>
          <w:p>
            <w:pPr>
              <w:pStyle w:val="null3"/>
            </w:pPr>
            <w:r>
              <w:rPr/>
              <w:t>1.在磋商过程中，磋商小组认为供应商报价明显低于其他通过符合性审查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分项报价明细表</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报价未超过磋商文件中规定的最高限价的。</w:t>
            </w:r>
          </w:p>
        </w:tc>
        <w:tc>
          <w:tcPr>
            <w:tcW w:type="dxa" w:w="1661"/>
          </w:tcPr>
          <w:p>
            <w:pPr>
              <w:pStyle w:val="null3"/>
            </w:pPr>
            <w:r>
              <w:rPr/>
              <w:t>标的清单 报价表 分项报价明细表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服务方案内容完整合理，针对性强，符合采购要求的得(10-15]分；服务方案内容较完整合理，针对性较强，较为符合采购要求的得(5-10]分；服务方案内容基本完整合理，针对性一般，基本满足采购要求的得(0-5]分；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进度计划</w:t>
            </w:r>
          </w:p>
        </w:tc>
        <w:tc>
          <w:tcPr>
            <w:tcW w:type="dxa" w:w="2492"/>
          </w:tcPr>
          <w:p>
            <w:pPr>
              <w:pStyle w:val="null3"/>
            </w:pPr>
            <w:r>
              <w:rPr/>
              <w:t>内容总体思路清晰、合理、可行性强得(3-5]分；总体思路基本清晰、基本可行得(0-3]分。未提供不得分。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人员配备</w:t>
            </w:r>
          </w:p>
        </w:tc>
        <w:tc>
          <w:tcPr>
            <w:tcW w:type="dxa" w:w="2492"/>
          </w:tcPr>
          <w:p>
            <w:pPr>
              <w:pStyle w:val="null3"/>
            </w:pPr>
            <w:r>
              <w:rPr/>
              <w:t>1.配备最少5名具有统计相关工作经验人员协助开展工作（提供证明材料）得2分，每增加1人得1分，最高得2分，未提供不得分； 2.配备的人员全部具有本科及以上学历(提供相关证明材料)得2分，不符合不得分； 3.后备力量有保障，职责划分明确，能力符合统计服务规范的要求，结合团队人员工作经验等因素进行赋分； 人员配备分工明确、配置合理，经验丰富，专业性强，满足采购要求得（5-9]分；人员配备分工较明确、配置较合理、经验较丰富的，基本满足采购要求得(3-5]分；分工不够明确、配置一般、经验一般的得（0-3]分。未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制度建设</w:t>
            </w:r>
          </w:p>
        </w:tc>
        <w:tc>
          <w:tcPr>
            <w:tcW w:type="dxa" w:w="2492"/>
          </w:tcPr>
          <w:p>
            <w:pPr>
              <w:pStyle w:val="null3"/>
            </w:pPr>
            <w:r>
              <w:rPr/>
              <w:t>提供针对本项目拟定的工作职能组织运行图、岗位职责制度等。 管理责任清晰，日常管理制度完善、程序规范得(7-10]分；管理责任较清晰，日常管理制度较完善、程序较规范得(3-7]分；管理责任一般，日常管理制度一般得(0-3]分；未提供不得分。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员工管理</w:t>
            </w:r>
          </w:p>
        </w:tc>
        <w:tc>
          <w:tcPr>
            <w:tcW w:type="dxa" w:w="2492"/>
          </w:tcPr>
          <w:p>
            <w:pPr>
              <w:pStyle w:val="null3"/>
            </w:pPr>
            <w:r>
              <w:rPr/>
              <w:t>针对本项目制订符合实际情况的请销假管理制度及考核办法、岗位考核细则、工作人员奖惩制度等。 各项制度方法完整明确、具有针对性得(7-10]分；各项制度方法较完整明确、针对性一般得(3-7]分；各项制度方法内容一般得(0-3]分；未提供不得分。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质量保证措施</w:t>
            </w:r>
          </w:p>
        </w:tc>
        <w:tc>
          <w:tcPr>
            <w:tcW w:type="dxa" w:w="2492"/>
          </w:tcPr>
          <w:p>
            <w:pPr>
              <w:pStyle w:val="null3"/>
            </w:pPr>
            <w:r>
              <w:rPr/>
              <w:t>提供针对本项目的质量保证措施 各项质量保障、保证措施完善、分工明确得(7-10]分；保障、保证措施较完善、分工安排较合理得(3-7]分；保障、保证措施一般、分工安排基本合理得(0-3]分；未提供不得分。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应急预案</w:t>
            </w:r>
          </w:p>
        </w:tc>
        <w:tc>
          <w:tcPr>
            <w:tcW w:type="dxa" w:w="2492"/>
          </w:tcPr>
          <w:p>
            <w:pPr>
              <w:pStyle w:val="null3"/>
            </w:pPr>
            <w:r>
              <w:rPr/>
              <w:t>供应商提供针对本项目实施过程中可能会遇到的突发应急事件，按突发应急预案完整性、全面性、认知深度和专业性进行评审。突发应急预案合理、完善、详尽，可行性强得（4-8］分；突发应急预案基本合理、可行性一般得（0-4］分；未提供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保密措施</w:t>
            </w:r>
          </w:p>
        </w:tc>
        <w:tc>
          <w:tcPr>
            <w:tcW w:type="dxa" w:w="2492"/>
          </w:tcPr>
          <w:p>
            <w:pPr>
              <w:pStyle w:val="null3"/>
            </w:pPr>
            <w:r>
              <w:rPr/>
              <w:t>供应商提供保密措施，应承诺不得泄漏采购单位一切敏感信息，包括但不限于技术资料、商业秘密和商业信息等，保密措施完整详尽，可行性强得（3-5]分；保密措施基本完整可行得（0-3]分；未提供不得分。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类似业绩</w:t>
            </w:r>
          </w:p>
        </w:tc>
        <w:tc>
          <w:tcPr>
            <w:tcW w:type="dxa" w:w="2492"/>
          </w:tcPr>
          <w:p>
            <w:pPr>
              <w:pStyle w:val="null3"/>
            </w:pPr>
            <w:r>
              <w:rPr/>
              <w:t>近三年（2021年1月1日起至今）相关统计工作类似项目业绩，每有1项得1分，最多得5分。 注：以合同协议书复印件为准。时间以合同协议书签订时间为准。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类似项目业绩</w:t>
            </w:r>
          </w:p>
        </w:tc>
      </w:tr>
      <w:tr>
        <w:tc>
          <w:tcPr>
            <w:tcW w:type="dxa" w:w="831"/>
            <w:vMerge/>
          </w:tcPr>
          <w:p/>
        </w:tc>
        <w:tc>
          <w:tcPr>
            <w:tcW w:type="dxa" w:w="1661"/>
          </w:tcPr>
          <w:p>
            <w:pPr>
              <w:pStyle w:val="null3"/>
            </w:pPr>
            <w:r>
              <w:rPr/>
              <w:t>服务承诺</w:t>
            </w:r>
          </w:p>
        </w:tc>
        <w:tc>
          <w:tcPr>
            <w:tcW w:type="dxa" w:w="2492"/>
          </w:tcPr>
          <w:p>
            <w:pPr>
              <w:pStyle w:val="null3"/>
            </w:pPr>
            <w:r>
              <w:rPr/>
              <w:t>供应商针对本项目有详细的服务承诺，在合同履行过程中为采购人提供的服务质量及对后期的技术指导等方面作出书面承诺。根据服务承诺明确、合理程度得(0-4]分；未提供不得分。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磋商响应方案说明</w:t>
            </w:r>
          </w:p>
        </w:tc>
      </w:tr>
      <w:tr>
        <w:tc>
          <w:tcPr>
            <w:tcW w:type="dxa" w:w="831"/>
            <w:vMerge/>
          </w:tcPr>
          <w:p/>
        </w:tc>
        <w:tc>
          <w:tcPr>
            <w:tcW w:type="dxa" w:w="1661"/>
          </w:tcPr>
          <w:p>
            <w:pPr>
              <w:pStyle w:val="null3"/>
            </w:pPr>
            <w:r>
              <w:rPr/>
              <w:t>合理化建议</w:t>
            </w:r>
          </w:p>
        </w:tc>
        <w:tc>
          <w:tcPr>
            <w:tcW w:type="dxa" w:w="2492"/>
          </w:tcPr>
          <w:p>
            <w:pPr>
              <w:pStyle w:val="null3"/>
            </w:pPr>
            <w:r>
              <w:rPr/>
              <w:t>根据本项目提出有利于采购人的建议，根据情况自主赋分得(0-3]分；未提供不得分。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磋商响应方案说明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经资格审查、符合性审查合格的磋商响应文件，其磋商报价为有效磋商报价。满足磋商文件要求且磋商价格最低的磋商报价为评标基准价，其价格分为满分。价格分按照下列公式计算。 报价总得分=（评标基准价/磋商总报价）×10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分项报价明细表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详见附件：分项报价明细表</w:t>
      </w:r>
    </w:p>
    <w:p>
      <w:pPr>
        <w:pStyle w:val="null3"/>
        <w:ind w:firstLine="960"/>
      </w:pPr>
      <w:r>
        <w:rPr/>
        <w:t>详见附件：法定代表人证明书及法定代表人授权书</w:t>
      </w:r>
    </w:p>
    <w:p>
      <w:pPr>
        <w:pStyle w:val="null3"/>
        <w:ind w:firstLine="960"/>
      </w:pPr>
      <w:r>
        <w:rPr/>
        <w:t>详见附件：服务需求响应表</w:t>
      </w:r>
    </w:p>
    <w:p>
      <w:pPr>
        <w:pStyle w:val="null3"/>
        <w:ind w:firstLine="960"/>
      </w:pPr>
      <w:r>
        <w:rPr/>
        <w:t>详见附件：商务偏离表</w:t>
      </w:r>
    </w:p>
    <w:p>
      <w:pPr>
        <w:pStyle w:val="null3"/>
        <w:ind w:firstLine="960"/>
      </w:pPr>
      <w:r>
        <w:rPr/>
        <w:t>详见附件：资格证明文件</w:t>
      </w:r>
    </w:p>
    <w:p>
      <w:pPr>
        <w:pStyle w:val="null3"/>
        <w:ind w:firstLine="960"/>
      </w:pPr>
      <w:r>
        <w:rPr/>
        <w:t>详见附件：类似项目业绩</w:t>
      </w:r>
    </w:p>
    <w:p>
      <w:pPr>
        <w:pStyle w:val="null3"/>
        <w:ind w:firstLine="960"/>
      </w:pPr>
      <w:r>
        <w:rPr/>
        <w:t>详见附件：磋商响应方案说明</w:t>
      </w:r>
    </w:p>
    <w:p>
      <w:pPr>
        <w:pStyle w:val="null3"/>
        <w:ind w:firstLine="960"/>
      </w:pPr>
      <w:r>
        <w:rPr/>
        <w:t>详见附件：磋商响应单位承诺书</w:t>
      </w:r>
    </w:p>
    <w:p>
      <w:pPr>
        <w:pStyle w:val="null3"/>
      </w:pPr>
      <w:r>
        <w:rPr/>
        <w:t xml:space="preserve"> </w:t>
      </w:r>
    </w:p>
    <w:p>
      <w:pPr>
        <w:pStyle w:val="null3"/>
        <w:jc w:val="center"/>
        <w:outlineLvl w:val="1"/>
      </w:pPr>
      <w:r>
        <w:rPr>
          <w:b/>
          <w:sz w:val="36"/>
        </w:rPr>
        <w:t>第八章 拟签订采购合同文本</w:t>
      </w:r>
    </w:p>
    <w:p>
      <w:pPr>
        <w:pStyle w:val="null3"/>
      </w:pPr>
      <w:r>
        <w:rPr/>
        <w:t>详见附件：合同草案条款.docx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