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pPr>
        <w:keepNext w:val="0"/>
        <w:keepLines w:val="0"/>
        <w:pageBreakBefore w:val="0"/>
        <w:kinsoku/>
        <w:wordWrap/>
        <w:overflowPunct w:val="0"/>
        <w:topLinePunct w:val="0"/>
        <w:bidi w:val="0"/>
        <w:snapToGrid/>
        <w:spacing w:line="348"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1.服务内容：</w:t>
      </w:r>
    </w:p>
    <w:p>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期：</w:t>
      </w:r>
      <w:r>
        <w:rPr>
          <w:rFonts w:hint="eastAsia" w:ascii="宋体" w:hAnsi="宋体" w:eastAsia="宋体" w:cs="宋体"/>
          <w:color w:val="auto"/>
          <w:sz w:val="24"/>
          <w:highlight w:val="none"/>
          <w:lang w:val="en-US" w:eastAsia="zh-CN"/>
        </w:rPr>
        <w:t>自合同签订之日起一年</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服务地点：采购人指定地点</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服务质量</w:t>
      </w:r>
      <w:r>
        <w:rPr>
          <w:rFonts w:hint="eastAsia" w:ascii="宋体" w:hAnsi="宋体" w:eastAsia="宋体" w:cs="宋体"/>
          <w:color w:val="auto"/>
          <w:sz w:val="24"/>
          <w:highlight w:val="none"/>
        </w:rPr>
        <w:t>：符合国家有关现行规范、标准的要求</w:t>
      </w:r>
    </w:p>
    <w:p>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pPr>
        <w:pStyle w:val="3"/>
        <w:widowControl w:val="0"/>
        <w:spacing w:after="0" w:line="360" w:lineRule="auto"/>
        <w:ind w:firstLine="480" w:firstLineChars="200"/>
        <w:jc w:val="both"/>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color w:val="auto"/>
          <w:sz w:val="24"/>
          <w:highlight w:val="none"/>
          <w:lang w:val="en-US" w:eastAsia="zh-CN"/>
        </w:rPr>
        <w:t>合同签订后，一季度末乙方应向甲方出具书面付款通知（注明开户行及账户信息）以及符合国家财税规定的增值税发票，达到付款条件起30日内，支付合同总金额的25.00%。</w:t>
      </w:r>
    </w:p>
    <w:p>
      <w:pPr>
        <w:pStyle w:val="3"/>
        <w:widowControl w:val="0"/>
        <w:spacing w:after="0" w:line="360" w:lineRule="auto"/>
        <w:ind w:firstLine="480" w:firstLineChars="200"/>
        <w:jc w:val="both"/>
        <w:rPr>
          <w:rFonts w:hint="eastAsia" w:ascii="宋体" w:hAnsi="宋体" w:eastAsia="宋体" w:cs="宋体"/>
          <w:bCs/>
          <w:color w:val="auto"/>
          <w:sz w:val="24"/>
          <w:highlight w:val="none"/>
          <w:lang w:val="en-US" w:eastAsia="en-US"/>
        </w:rPr>
      </w:pPr>
      <w:r>
        <w:rPr>
          <w:rFonts w:hint="eastAsia" w:ascii="宋体" w:hAnsi="宋体" w:eastAsia="宋体" w:cs="宋体"/>
          <w:bCs/>
          <w:color w:val="auto"/>
          <w:sz w:val="24"/>
          <w:highlight w:val="none"/>
          <w:lang w:val="en-US" w:eastAsia="en-US"/>
        </w:rPr>
        <w:t>二季度末乙方应向甲方出具书面付款通知（注明开户行及账户信息）以及符合国家财税规定的增值税发票，达到付款条件起30日内，支付合同总金额的25.00%。</w:t>
      </w:r>
    </w:p>
    <w:p>
      <w:pPr>
        <w:pStyle w:val="3"/>
        <w:widowControl w:val="0"/>
        <w:spacing w:after="0" w:line="360" w:lineRule="auto"/>
        <w:ind w:firstLine="480" w:firstLineChars="200"/>
        <w:jc w:val="both"/>
        <w:rPr>
          <w:rFonts w:hint="eastAsia" w:ascii="宋体" w:hAnsi="宋体" w:eastAsia="宋体" w:cs="宋体"/>
          <w:bCs/>
          <w:color w:val="auto"/>
          <w:sz w:val="24"/>
          <w:highlight w:val="none"/>
          <w:lang w:val="en-US" w:eastAsia="en-US"/>
        </w:rPr>
      </w:pPr>
      <w:r>
        <w:rPr>
          <w:rFonts w:hint="eastAsia" w:ascii="宋体" w:hAnsi="宋体" w:eastAsia="宋体" w:cs="宋体"/>
          <w:bCs/>
          <w:color w:val="auto"/>
          <w:sz w:val="24"/>
          <w:highlight w:val="none"/>
          <w:lang w:val="en-US" w:eastAsia="en-US"/>
        </w:rPr>
        <w:t>三季度末乙方应向甲方出具书面付款通知（注明开户行及账户信息）以及符合国家财税规定的增值税发票，达到付款条件起30日内，支付合同总金额的25.00%。</w:t>
      </w:r>
    </w:p>
    <w:p>
      <w:pPr>
        <w:pStyle w:val="3"/>
        <w:widowControl w:val="0"/>
        <w:spacing w:after="0" w:line="360" w:lineRule="auto"/>
        <w:ind w:firstLine="480" w:firstLineChars="200"/>
        <w:jc w:val="both"/>
        <w:rPr>
          <w:rFonts w:hint="eastAsia" w:ascii="宋体" w:hAnsi="宋体" w:eastAsia="宋体" w:cs="宋体"/>
          <w:bCs/>
          <w:color w:val="auto"/>
          <w:sz w:val="24"/>
          <w:highlight w:val="cyan"/>
          <w:lang w:val="en-US" w:eastAsia="zh-CN"/>
        </w:rPr>
      </w:pPr>
      <w:r>
        <w:rPr>
          <w:rFonts w:hint="eastAsia" w:ascii="宋体" w:hAnsi="宋体" w:eastAsia="宋体" w:cs="宋体"/>
          <w:bCs/>
          <w:color w:val="auto"/>
          <w:sz w:val="24"/>
          <w:highlight w:val="none"/>
          <w:lang w:val="en-US" w:eastAsia="en-US"/>
        </w:rPr>
        <w:t>合同期满乙方应向甲方出具书面付款通知（注明开户行及账户信息）以及符合国家财税规定的增值税发票，达到付款条件起30日内，支付合同总金额的25.00%。</w:t>
      </w:r>
    </w:p>
    <w:p>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lang w:val="en-US" w:eastAsia="zh-CN"/>
        </w:rPr>
        <w:t>付款依据：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p>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4.甲方付款前，乙方应向甲方开具正式等额发票，否则甲方有权延迟履行付款义务。</w:t>
      </w:r>
    </w:p>
    <w:p>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pPr>
        <w:pStyle w:val="4"/>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甲方应</w:t>
      </w:r>
      <w:r>
        <w:rPr>
          <w:rFonts w:hint="eastAsia" w:ascii="宋体" w:hAnsi="宋体" w:eastAsia="宋体" w:cs="宋体"/>
          <w:sz w:val="24"/>
          <w:highlight w:val="none"/>
          <w:lang w:eastAsia="zh-CN"/>
        </w:rPr>
        <w:t>对</w:t>
      </w:r>
      <w:r>
        <w:rPr>
          <w:rFonts w:hint="eastAsia" w:ascii="宋体" w:hAnsi="宋体" w:eastAsia="宋体" w:cs="宋体"/>
          <w:sz w:val="24"/>
          <w:highlight w:val="none"/>
        </w:rPr>
        <w:t>乙方</w:t>
      </w:r>
      <w:r>
        <w:rPr>
          <w:rFonts w:hint="eastAsia" w:ascii="宋体" w:hAnsi="宋体" w:eastAsia="宋体" w:cs="宋体"/>
          <w:sz w:val="24"/>
          <w:highlight w:val="none"/>
          <w:lang w:eastAsia="zh-CN"/>
        </w:rPr>
        <w:t>服务</w:t>
      </w:r>
      <w:r>
        <w:rPr>
          <w:rFonts w:hint="eastAsia" w:ascii="宋体" w:hAnsi="宋体" w:eastAsia="宋体" w:cs="宋体"/>
          <w:sz w:val="24"/>
          <w:highlight w:val="none"/>
        </w:rPr>
        <w:t>情况进行考核。</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人员外，乙方以本季度应付款项为基数，按每天3‰计算向甲方支付违约金。</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乙方在服务期间出现重大失误的,甲方有权终止协议,并向乙方追索因失误造成的相关损失。</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5.甲方支持乙方的工作，按合同保证乙方责任和权力的统一。</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.甲方有权对服务质量进行评估，若服务评估结果不合格，甲方有权扣除不超过10%的合同金额或终止合同。</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1.根据本合同约定,乙方应按甲方需求安排服务人员,并保持服务人员的相对稳定。</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2.乙方应根据甲方的要求,建立并完善内部考核管理制度。</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3.乙方定期对外包服务工作进行情况分析,向甲方提出意见和建议,不断改进完善服务工作。</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4.乙方服务人员若被发现有任何影响甲方正常岗位工作的行为,乙方管理人员应及时处置。</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5.在服务期间,乙方服务人员需保证所使用设施设备的完好、完整,若由于操作或使用不当造成设备损坏或丢失,须原价赔偿。</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2.若乙方在为甲方提供服务时侵犯了第三人的权利，致使甲方受到索赔或起诉，由此给甲方造成的一切损失由乙方承担，同时甲方有权解除合同，同时乙方及时消除不良影响。</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3.若未经甲方许可，乙方擅自使用或向第三方披露或许可第三方使用在为甲方提供服务时所获得的成果，甲方有权要求乙方或第三方停止侵权，并承担以此带来的所有损失，同时消除不良影响。</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color w:val="auto"/>
          <w:sz w:val="24"/>
        </w:rPr>
        <w:t>符合国家有关现行规范、标准的要求</w:t>
      </w:r>
      <w:r>
        <w:rPr>
          <w:rFonts w:hint="eastAsia" w:ascii="宋体" w:hAnsi="宋体" w:eastAsia="宋体" w:cs="宋体"/>
          <w:color w:val="auto"/>
          <w:kern w:val="2"/>
          <w:sz w:val="24"/>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并追回所付项目款。</w:t>
      </w:r>
    </w:p>
    <w:p>
      <w:pPr>
        <w:pStyle w:val="7"/>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pPr>
        <w:pStyle w:val="8"/>
        <w:keepNext w:val="0"/>
        <w:keepLines w:val="0"/>
        <w:pageBreakBefore w:val="0"/>
        <w:kinsoku/>
        <w:wordWrap/>
        <w:topLinePunct w:val="0"/>
        <w:bidi w:val="0"/>
        <w:snapToGrid/>
        <w:spacing w:line="348"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pPr>
        <w:pStyle w:val="8"/>
        <w:keepNext w:val="0"/>
        <w:keepLines w:val="0"/>
        <w:pageBreakBefore w:val="0"/>
        <w:kinsoku/>
        <w:wordWrap/>
        <w:topLinePunct w:val="0"/>
        <w:bidi w:val="0"/>
        <w:snapToGrid/>
        <w:spacing w:line="348"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3.中国政府依据现行税法对甲方征收的与本合同有关的一切税费均由甲方负担。</w:t>
      </w:r>
    </w:p>
    <w:p>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2.未按合同或磋商文件要求提供服务，质量不能满足甲方技术要求，采购单位有权终止合同，甚至对供方违约行为进行追究。</w:t>
      </w:r>
    </w:p>
    <w:p>
      <w:pPr>
        <w:pStyle w:val="7"/>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pPr>
        <w:keepNext w:val="0"/>
        <w:keepLines w:val="0"/>
        <w:pageBreakBefore w:val="0"/>
        <w:kinsoku/>
        <w:wordWrap/>
        <w:topLinePunct w:val="0"/>
        <w:bidi w:val="0"/>
        <w:snapToGrid/>
        <w:spacing w:line="348" w:lineRule="auto"/>
        <w:ind w:firstLine="480" w:firstLineChars="200"/>
        <w:textAlignment w:val="auto"/>
        <w:rPr>
          <w:rFonts w:hint="eastAsia"/>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tbl>
      <w:tblPr>
        <w:tblStyle w:val="5"/>
        <w:tblW w:w="0" w:type="auto"/>
        <w:tblInd w:w="0" w:type="dxa"/>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484" w:hRule="exact"/>
        </w:trPr>
        <w:tc>
          <w:tcPr>
            <w:tcW w:w="4201" w:type="dxa"/>
            <w:noWrap w:val="0"/>
            <w:vAlign w:val="center"/>
          </w:tcPr>
          <w:p>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tblPrEx>
          <w:tblCellMar>
            <w:top w:w="0" w:type="dxa"/>
            <w:left w:w="108" w:type="dxa"/>
            <w:bottom w:w="0" w:type="dxa"/>
            <w:right w:w="108" w:type="dxa"/>
          </w:tblCellMar>
        </w:tblPrEx>
        <w:trPr>
          <w:trHeight w:val="4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tblPrEx>
          <w:tblCellMar>
            <w:top w:w="0" w:type="dxa"/>
            <w:left w:w="108" w:type="dxa"/>
            <w:bottom w:w="0" w:type="dxa"/>
            <w:right w:w="108" w:type="dxa"/>
          </w:tblCellMar>
        </w:tblPrEx>
        <w:trPr>
          <w:trHeight w:val="501"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tblPrEx>
          <w:tblCellMar>
            <w:top w:w="0" w:type="dxa"/>
            <w:left w:w="108" w:type="dxa"/>
            <w:bottom w:w="0" w:type="dxa"/>
            <w:right w:w="108" w:type="dxa"/>
          </w:tblCellMar>
        </w:tblPrEx>
        <w:trPr>
          <w:trHeight w:val="450"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tblPrEx>
          <w:tblCellMar>
            <w:top w:w="0" w:type="dxa"/>
            <w:left w:w="108" w:type="dxa"/>
            <w:bottom w:w="0" w:type="dxa"/>
            <w:right w:w="108" w:type="dxa"/>
          </w:tblCellMar>
        </w:tblPrEx>
        <w:trPr>
          <w:trHeight w:val="533"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tblPrEx>
          <w:tblCellMar>
            <w:top w:w="0" w:type="dxa"/>
            <w:left w:w="108" w:type="dxa"/>
            <w:bottom w:w="0" w:type="dxa"/>
            <w:right w:w="108" w:type="dxa"/>
          </w:tblCellMar>
        </w:tblPrEx>
        <w:trPr>
          <w:trHeight w:val="533"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tblPrEx>
          <w:tblCellMar>
            <w:top w:w="0" w:type="dxa"/>
            <w:left w:w="108" w:type="dxa"/>
            <w:bottom w:w="0" w:type="dxa"/>
            <w:right w:w="108" w:type="dxa"/>
          </w:tblCellMar>
        </w:tblPrEx>
        <w:trPr>
          <w:trHeight w:val="500"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tblPrEx>
          <w:tblCellMar>
            <w:top w:w="0" w:type="dxa"/>
            <w:left w:w="108" w:type="dxa"/>
            <w:bottom w:w="0" w:type="dxa"/>
            <w:right w:w="108" w:type="dxa"/>
          </w:tblCellMar>
        </w:tblPrEx>
        <w:trPr>
          <w:trHeight w:val="4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tblPrEx>
          <w:tblCellMar>
            <w:top w:w="0" w:type="dxa"/>
            <w:left w:w="108" w:type="dxa"/>
            <w:bottom w:w="0" w:type="dxa"/>
            <w:right w:w="108" w:type="dxa"/>
          </w:tblCellMar>
        </w:tblPrEx>
        <w:trPr>
          <w:trHeight w:val="5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tblPrEx>
          <w:tblCellMar>
            <w:top w:w="0" w:type="dxa"/>
            <w:left w:w="108" w:type="dxa"/>
            <w:bottom w:w="0" w:type="dxa"/>
            <w:right w:w="108" w:type="dxa"/>
          </w:tblCellMar>
        </w:tblPrEx>
        <w:trPr>
          <w:trHeight w:val="567" w:hRule="exact"/>
        </w:trPr>
        <w:tc>
          <w:tcPr>
            <w:tcW w:w="42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400A6D77"/>
    <w:rsid w:val="400A6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7">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8">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2024-03-14T02:14:00Z</dcterms:created>
  <dc:creator>二大爷的七姑三舅老爷</dc:creator>
  <cp:lastModifiedBy>二大爷的七姑三舅老爷</cp:lastModifiedBy>
  <dcterms:modified xsi:type="dcterms:W3CDTF">2024-03-14T02:14:49Z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A14A8917148D433B8D8C7C72330DAA11_11</vt:lpwstr>
  </property>
</Properties>
</file>