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秦汉大道部分路段道路降尘喷淋系统服务项目</w:t>
      </w:r>
    </w:p>
    <w:p>
      <w:pPr>
        <w:pStyle w:val="null3"/>
        <w:jc w:val="center"/>
        <w:outlineLvl w:val="2"/>
      </w:pPr>
      <w:r>
        <w:rPr>
          <w:b/>
          <w:sz w:val="28"/>
        </w:rPr>
        <w:t>采购项目编号：</w:t>
      </w:r>
      <w:r>
        <w:rPr>
          <w:b/>
          <w:sz w:val="28"/>
        </w:rPr>
        <w:t>GWZC-2024-021</w:t>
      </w:r>
      <w:r>
        <w:br/>
      </w:r>
      <w:r>
        <w:br/>
      </w:r>
      <w:r>
        <w:br/>
      </w:r>
    </w:p>
    <w:p>
      <w:pPr>
        <w:pStyle w:val="null3"/>
        <w:jc w:val="center"/>
        <w:outlineLvl w:val="2"/>
      </w:pPr>
      <w:r>
        <w:rPr>
          <w:b/>
          <w:sz w:val="28"/>
        </w:rPr>
        <w:t>西安国际港务区城市管理和综合执法局</w:t>
      </w:r>
    </w:p>
    <w:p>
      <w:pPr>
        <w:pStyle w:val="null3"/>
        <w:jc w:val="center"/>
        <w:outlineLvl w:val="2"/>
      </w:pPr>
      <w:r>
        <w:rPr>
          <w:b/>
          <w:sz w:val="28"/>
        </w:rPr>
        <w:t>陕西纵横项目管理有限公司</w:t>
      </w:r>
      <w:r>
        <w:rPr>
          <w:b/>
          <w:sz w:val="28"/>
        </w:rPr>
        <w:t>共同编制</w:t>
      </w:r>
    </w:p>
    <w:p>
      <w:pPr>
        <w:pStyle w:val="null3"/>
        <w:jc w:val="center"/>
        <w:outlineLvl w:val="2"/>
      </w:pPr>
      <w:r>
        <w:rPr>
          <w:b/>
          <w:sz w:val="28"/>
        </w:rPr>
        <w:t>2024年05月06日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陕西纵横项目管理有限公司</w:t>
      </w:r>
      <w:r>
        <w:rPr/>
        <w:t>（以下简称“代理机构”）受</w:t>
      </w:r>
      <w:r>
        <w:rPr/>
        <w:t>西安国际港务区城市管理和综合执法局</w:t>
      </w:r>
      <w:r>
        <w:rPr/>
        <w:t>委托，拟对</w:t>
      </w:r>
      <w:r>
        <w:rPr/>
        <w:t>秦汉大道部分路段道路降尘喷淋系统服务项目</w:t>
      </w:r>
      <w:r>
        <w:rPr/>
        <w:t>采用竞争性磋商采购方式进行采购，兹邀请供应商参加本项目的竞争性磋商。</w:t>
      </w:r>
    </w:p>
    <w:p>
      <w:pPr>
        <w:pStyle w:val="null3"/>
        <w:outlineLvl w:val="2"/>
      </w:pPr>
      <w:r>
        <w:rPr>
          <w:b/>
          <w:sz w:val="28"/>
        </w:rPr>
        <w:t>一、项目编号：</w:t>
      </w:r>
      <w:r>
        <w:rPr>
          <w:b/>
          <w:sz w:val="28"/>
        </w:rPr>
        <w:t>GWZC-2024-021</w:t>
      </w:r>
    </w:p>
    <w:p>
      <w:pPr>
        <w:pStyle w:val="null3"/>
        <w:outlineLvl w:val="2"/>
      </w:pPr>
      <w:r>
        <w:rPr>
          <w:b/>
          <w:sz w:val="28"/>
        </w:rPr>
        <w:t>二、项目名称：</w:t>
      </w:r>
      <w:r>
        <w:rPr>
          <w:b/>
          <w:sz w:val="28"/>
        </w:rPr>
        <w:t>秦汉大道部分路段道路降尘喷淋系统服务项目</w:t>
      </w:r>
    </w:p>
    <w:p>
      <w:pPr>
        <w:pStyle w:val="null3"/>
        <w:outlineLvl w:val="2"/>
      </w:pPr>
      <w:r>
        <w:rPr>
          <w:b/>
          <w:sz w:val="28"/>
        </w:rPr>
        <w:t>三、磋商项目简介</w:t>
      </w:r>
    </w:p>
    <w:p>
      <w:pPr>
        <w:pStyle w:val="null3"/>
        <w:ind w:firstLine="480"/>
      </w:pPr>
      <w:r>
        <w:rPr/>
        <w:t>秦汉大道部分路段道路降尘喷淋系统服务项目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采购包1（秦汉大道部分路段道路降尘喷淋系统服务项目）：属于专门面向中小企业采购。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1、法定代表人授权书/法定代表人身份证明：法定代表人授权书（附法定代表人、被授权人身份证复印件）（法定代表人直接参加磋商，须提供法定代表人身份证明）；</w:t>
      </w:r>
    </w:p>
    <w:p>
      <w:pPr>
        <w:pStyle w:val="null3"/>
      </w:pPr>
      <w:r>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t>3、控股管理关系：单位负责人为同一人或者存在直接控股、管理关系的供应商，不得参加同一合同下的政府采购活动；</w:t>
      </w:r>
    </w:p>
    <w:p>
      <w:pPr>
        <w:pStyle w:val="null3"/>
      </w:pPr>
      <w:r>
        <w:rPr/>
        <w:t>4、其他：为本项目提供过整体设计、规范编制或者项目管理、监理、检测等服务的供应商，不得再参加本项目采购活动；</w:t>
      </w:r>
    </w:p>
    <w:p>
      <w:pPr>
        <w:pStyle w:val="null3"/>
      </w:pPr>
      <w:r>
        <w:rPr/>
        <w:t>5、联合体：本项目不接受联合体磋商，不允许分包。</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西安国际港务区城市管理和综合执法局</w:t>
      </w:r>
    </w:p>
    <w:p>
      <w:pPr>
        <w:pStyle w:val="null3"/>
      </w:pPr>
      <w:r>
        <w:rPr/>
        <w:t xml:space="preserve"> 地址： </w:t>
      </w:r>
      <w:r>
        <w:rPr/>
        <w:t>西安国际港务区港务大道梦想公社</w:t>
      </w:r>
    </w:p>
    <w:p>
      <w:pPr>
        <w:pStyle w:val="null3"/>
      </w:pPr>
      <w:r>
        <w:rPr/>
        <w:t xml:space="preserve"> 邮编： </w:t>
      </w:r>
      <w:r>
        <w:rPr/>
        <w:t>710026</w:t>
      </w:r>
    </w:p>
    <w:p>
      <w:pPr>
        <w:pStyle w:val="null3"/>
      </w:pPr>
      <w:r>
        <w:rPr/>
        <w:t xml:space="preserve"> 联系人： </w:t>
      </w:r>
      <w:r>
        <w:rPr/>
        <w:t>刘老师</w:t>
      </w:r>
    </w:p>
    <w:p>
      <w:pPr>
        <w:pStyle w:val="null3"/>
      </w:pPr>
      <w:r>
        <w:rPr/>
        <w:t xml:space="preserve"> 联系电话： </w:t>
      </w:r>
      <w:r>
        <w:rPr/>
        <w:t>029-88063100</w:t>
      </w:r>
    </w:p>
    <w:p>
      <w:pPr>
        <w:pStyle w:val="null3"/>
        <w:outlineLvl w:val="3"/>
      </w:pPr>
      <w:r>
        <w:rPr>
          <w:b/>
          <w:sz w:val="24"/>
        </w:rPr>
        <w:t>代理机构：</w:t>
      </w:r>
      <w:r>
        <w:rPr>
          <w:b/>
          <w:sz w:val="24"/>
        </w:rPr>
        <w:t>陕西纵横项目管理有限公司</w:t>
      </w:r>
    </w:p>
    <w:p>
      <w:pPr>
        <w:pStyle w:val="null3"/>
      </w:pPr>
      <w:r>
        <w:rPr/>
        <w:t xml:space="preserve"> 地址： </w:t>
      </w:r>
      <w:r>
        <w:rPr/>
        <w:t>西安市经开区凤城五路赛高街区A座902室</w:t>
      </w:r>
    </w:p>
    <w:p>
      <w:pPr>
        <w:pStyle w:val="null3"/>
      </w:pPr>
      <w:r>
        <w:rPr/>
        <w:t xml:space="preserve"> 邮编： </w:t>
      </w:r>
      <w:r>
        <w:rPr/>
        <w:t>710000</w:t>
      </w:r>
    </w:p>
    <w:p>
      <w:pPr>
        <w:pStyle w:val="null3"/>
      </w:pPr>
      <w:r>
        <w:rPr/>
        <w:t xml:space="preserve"> 联系人： </w:t>
      </w:r>
      <w:r>
        <w:rPr/>
        <w:t>李工</w:t>
      </w:r>
    </w:p>
    <w:p>
      <w:pPr>
        <w:pStyle w:val="null3"/>
      </w:pPr>
      <w:r>
        <w:rPr/>
        <w:t xml:space="preserve"> 联系电话： </w:t>
      </w:r>
      <w:r>
        <w:rPr/>
        <w:t>029-86252018</w:t>
      </w:r>
    </w:p>
    <w:p>
      <w:pPr>
        <w:pStyle w:val="null3"/>
        <w:outlineLvl w:val="3"/>
      </w:pPr>
      <w:r>
        <w:rPr>
          <w:b/>
          <w:sz w:val="24"/>
        </w:rPr>
        <w:t>采购监督机构：</w:t>
      </w:r>
      <w:r>
        <w:rPr>
          <w:b/>
          <w:sz w:val="24"/>
        </w:rPr>
        <w:t>西安国际港务区财政金融局</w:t>
      </w:r>
    </w:p>
    <w:p>
      <w:pPr>
        <w:pStyle w:val="null3"/>
        <w:ind w:firstLine="480"/>
      </w:pPr>
      <w:r>
        <w:rPr/>
        <w:t>联系人：</w:t>
      </w:r>
      <w:r>
        <w:rPr/>
        <w:t>袁老师</w:t>
      </w:r>
    </w:p>
    <w:p>
      <w:pPr>
        <w:pStyle w:val="null3"/>
        <w:ind w:firstLine="480"/>
      </w:pPr>
      <w:r>
        <w:rPr/>
        <w:t>联系电话：</w:t>
      </w:r>
      <w:r>
        <w:rPr/>
        <w:t>83521198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代理服务费收费标准：1、磋商代理服务费：以成交金额为基数，参照国家计委颁发的《招标代理服务收费管理暂行办法》（计价格[2002]1980号）和财政部颁发的《政府采购代理机构管理暂行办法》 (财库[2018]2号) 的有关规定执行。 2、磋商代理服务费由成交供应商支付，在领取《成交通知书》前，由成交供应商一次性支付给陕西纵横项目管理有限公司。3、磋商代理服务费缴纳账户： 开户名称：陕西纵横项目管理有限公司 开户银行：浙商银行股份有限公司西安未央路支行 账号：7910000610120100029478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西安国际港务区城市管理和综合执法局</w:t>
      </w:r>
      <w:r>
        <w:rPr/>
        <w:t>和</w:t>
      </w:r>
      <w:r>
        <w:rPr/>
        <w:t>陕西纵横项目管理有限公司</w:t>
      </w:r>
      <w:r>
        <w:rPr/>
        <w:t>享有。对磋商文件中供应商参加本次政府采购活动应当具备的条件，磋商项目技术、服务、商务及其他要求，评审细则及标准由</w:t>
      </w:r>
      <w:r>
        <w:rPr/>
        <w:t>西安国际港务区城市管理和综合执法局</w:t>
      </w:r>
      <w:r>
        <w:rPr/>
        <w:t>负责解释。除上述磋商文件内容，其他内容由</w:t>
      </w:r>
      <w:r>
        <w:rPr/>
        <w:t>陕西纵横项目管理有限公司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西安国际港务区城市管理和综合执法局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陕西纵横项目管理有限公司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陕西纵横项目管理有限公司</w:t>
      </w:r>
      <w:r>
        <w:rPr/>
        <w:t xml:space="preserve"> 负责答复；供应商对除采购需求外的采购文件的询问、质疑由</w:t>
      </w:r>
      <w:r>
        <w:rPr/>
        <w:t>陕西纵横项目管理有限公司</w:t>
      </w:r>
      <w:r>
        <w:rPr/>
        <w:t xml:space="preserve"> 负责答复；供应商对采购过程、采购结果的询问、质疑由 </w:t>
      </w:r>
      <w:r>
        <w:rPr/>
        <w:t>陕西纵横项目管理有限公司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联系人：李工</w:t>
      </w:r>
    </w:p>
    <w:p>
      <w:pPr>
        <w:pStyle w:val="null3"/>
      </w:pPr>
      <w:r>
        <w:rPr/>
        <w:t>联系电话：029-86252018转804</w:t>
      </w:r>
    </w:p>
    <w:p>
      <w:pPr>
        <w:pStyle w:val="null3"/>
      </w:pPr>
      <w:r>
        <w:rPr/>
        <w:t>地址：西安市经开区凤城五路赛高街区A座902室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采用喷淋系统来实现秦汉大道（港务大道-纺渭路）、（欧亚大道-奥体大道部分路段）大幅降低建筑工地扬尘，汽车尾气、道路扬尘及挥发性有机物对城区空气的污染。在区域干道（货运通道、渣土通道）的道路沿线，增加“灯杆式喷淋终端系统服务”；根据大气污染指数级别，开启不同雾量的高压水雾。</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秦汉大道部分路段道路降尘喷淋系统服务</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标的名称：秦汉大道部分路段道路降尘喷淋系统服务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color w:val="000000"/>
                <w:sz w:val="24"/>
              </w:rPr>
              <w:t>远程控制服务：</w:t>
            </w:r>
            <w:r>
              <w:rPr>
                <w:rFonts w:ascii="宋体" w:hAnsi="宋体" w:cs="宋体" w:eastAsia="宋体"/>
                <w:color w:val="000000"/>
                <w:sz w:val="24"/>
              </w:rPr>
              <w:t>服务内容包括电机散热系统、自动变频系统、喷淋控制系统、运维服务、管理服务。</w:t>
            </w:r>
          </w:p>
          <w:p>
            <w:pPr>
              <w:pStyle w:val="null3"/>
              <w:ind w:firstLine="480"/>
              <w:jc w:val="left"/>
            </w:pPr>
            <w:r>
              <w:rPr>
                <w:rFonts w:ascii="宋体" w:hAnsi="宋体" w:cs="宋体" w:eastAsia="宋体"/>
                <w:color w:val="000000"/>
                <w:sz w:val="24"/>
              </w:rPr>
              <w:t>①电机散热系统、自动变频系统、喷淋控制系统：</w:t>
            </w:r>
            <w:r>
              <w:rPr>
                <w:rFonts w:ascii="宋体" w:hAnsi="宋体" w:cs="宋体" w:eastAsia="宋体"/>
                <w:color w:val="000000"/>
                <w:sz w:val="24"/>
              </w:rPr>
              <w:t>覆盖秦汉大道（港务大道</w:t>
            </w:r>
            <w:r>
              <w:rPr>
                <w:rFonts w:ascii="宋体" w:hAnsi="宋体" w:cs="宋体" w:eastAsia="宋体"/>
                <w:color w:val="000000"/>
                <w:sz w:val="24"/>
              </w:rPr>
              <w:t>-纺渭路）、（欧亚大道-奥体大道部分路段）面源大气环境监测监控，要求内置远程控制系统，可远程控制设备启停状态。</w:t>
            </w:r>
          </w:p>
          <w:p>
            <w:pPr>
              <w:pStyle w:val="null3"/>
              <w:ind w:firstLine="480"/>
              <w:jc w:val="left"/>
            </w:pPr>
            <w:r>
              <w:rPr>
                <w:rFonts w:ascii="宋体" w:hAnsi="宋体" w:cs="宋体" w:eastAsia="宋体"/>
                <w:color w:val="000000"/>
                <w:sz w:val="24"/>
              </w:rPr>
              <w:t>②运维服务：使用期间供水供电管线巡检，阀门接头维护，喷头滤芯及润滑油等耗材及零配件的维修更换，水电损耗等内容。</w:t>
            </w:r>
          </w:p>
          <w:p>
            <w:pPr>
              <w:pStyle w:val="null3"/>
              <w:ind w:firstLine="480"/>
              <w:jc w:val="left"/>
            </w:pPr>
            <w:r>
              <w:rPr>
                <w:rFonts w:ascii="宋体" w:hAnsi="宋体" w:cs="宋体" w:eastAsia="宋体"/>
                <w:color w:val="000000"/>
                <w:sz w:val="24"/>
              </w:rPr>
              <w:t>③管理服务：</w:t>
            </w:r>
            <w:r>
              <w:rPr>
                <w:rFonts w:ascii="宋体" w:hAnsi="宋体" w:cs="宋体" w:eastAsia="宋体"/>
                <w:color w:val="000000"/>
                <w:sz w:val="24"/>
              </w:rPr>
              <w:t>提供</w:t>
            </w:r>
            <w:r>
              <w:rPr>
                <w:rFonts w:ascii="宋体" w:hAnsi="宋体" w:cs="宋体" w:eastAsia="宋体"/>
                <w:color w:val="000000"/>
                <w:sz w:val="24"/>
              </w:rPr>
              <w:t>7×24小时服务保障，保障系统的正常稳定运行，1小时内响应，2小时内到场解决故障；提供每周不少于3次现场巡查，及时检查供电、网络，保证设备正常运行；负责定期清洁采样部件，更换消耗品，确保设备工作在最佳状态。</w:t>
            </w:r>
          </w:p>
          <w:p>
            <w:pPr>
              <w:pStyle w:val="null3"/>
              <w:ind w:firstLine="480"/>
              <w:jc w:val="left"/>
            </w:pPr>
            <w:r>
              <w:rPr>
                <w:rFonts w:ascii="宋体" w:hAnsi="宋体" w:cs="宋体" w:eastAsia="宋体"/>
                <w:color w:val="000000"/>
                <w:sz w:val="24"/>
              </w:rPr>
              <w:t>备注：</w:t>
            </w:r>
            <w:r>
              <w:rPr>
                <w:rFonts w:ascii="宋体" w:hAnsi="宋体" w:cs="宋体" w:eastAsia="宋体"/>
                <w:color w:val="000000"/>
                <w:sz w:val="24"/>
              </w:rPr>
              <w:t>①</w:t>
            </w:r>
            <w:r>
              <w:rPr>
                <w:rFonts w:ascii="宋体" w:hAnsi="宋体" w:cs="宋体" w:eastAsia="宋体"/>
                <w:color w:val="000000"/>
                <w:sz w:val="24"/>
              </w:rPr>
              <w:t>水电费</w:t>
            </w:r>
            <w:r>
              <w:rPr>
                <w:rFonts w:ascii="宋体" w:hAnsi="宋体" w:cs="宋体" w:eastAsia="宋体"/>
                <w:color w:val="000000"/>
                <w:sz w:val="24"/>
              </w:rPr>
              <w:t>参照地方水电费用标准，按照平均每天运行</w:t>
            </w:r>
            <w:r>
              <w:rPr>
                <w:rFonts w:ascii="宋体" w:hAnsi="宋体" w:cs="宋体" w:eastAsia="宋体"/>
                <w:color w:val="000000"/>
                <w:sz w:val="24"/>
              </w:rPr>
              <w:t>4个小时，承担</w:t>
            </w:r>
            <w:r>
              <w:rPr>
                <w:rFonts w:ascii="宋体" w:hAnsi="宋体" w:cs="宋体" w:eastAsia="宋体"/>
                <w:color w:val="000000"/>
                <w:sz w:val="24"/>
              </w:rPr>
              <w:t>远程控制服务</w:t>
            </w:r>
            <w:r>
              <w:rPr>
                <w:rFonts w:ascii="宋体" w:hAnsi="宋体" w:cs="宋体" w:eastAsia="宋体"/>
                <w:color w:val="000000"/>
                <w:sz w:val="24"/>
              </w:rPr>
              <w:t>使用期间的水电费用。</w:t>
            </w:r>
          </w:p>
          <w:p>
            <w:pPr>
              <w:pStyle w:val="null3"/>
              <w:jc w:val="left"/>
            </w:pPr>
            <w:r>
              <w:rPr>
                <w:rFonts w:ascii="宋体" w:hAnsi="宋体" w:cs="宋体" w:eastAsia="宋体"/>
                <w:color w:val="000000"/>
                <w:sz w:val="24"/>
              </w:rPr>
              <w:t>②安装费及水电费均包含在远程控制服务中。</w:t>
            </w:r>
          </w:p>
        </w:tc>
      </w:tr>
      <w:tr>
        <w:tc>
          <w:tcPr>
            <w:tcW w:type="dxa" w:w="2769"/>
          </w:tcPr>
          <w:p/>
        </w:tc>
        <w:tc>
          <w:tcPr>
            <w:tcW w:type="dxa" w:w="2769"/>
          </w:tcPr>
          <w:p>
            <w:pPr>
              <w:pStyle w:val="null3"/>
            </w:pPr>
            <w:r>
              <w:rPr/>
              <w:t>2</w:t>
            </w:r>
          </w:p>
        </w:tc>
        <w:tc>
          <w:tcPr>
            <w:tcW w:type="dxa" w:w="2769"/>
          </w:tcPr>
          <w:p>
            <w:pPr>
              <w:pStyle w:val="null3"/>
              <w:ind w:firstLine="480"/>
              <w:jc w:val="left"/>
            </w:pPr>
            <w:r>
              <w:rPr>
                <w:rFonts w:ascii="宋体" w:hAnsi="宋体" w:cs="宋体" w:eastAsia="宋体"/>
                <w:color w:val="000000"/>
                <w:sz w:val="24"/>
              </w:rPr>
              <w:t>灯杆式喷淋终端系统服务：</w:t>
            </w:r>
            <w:r>
              <w:rPr>
                <w:rFonts w:ascii="宋体" w:hAnsi="宋体" w:cs="宋体" w:eastAsia="宋体"/>
                <w:color w:val="000000"/>
                <w:sz w:val="24"/>
              </w:rPr>
              <w:t>服务内容包括灯杆式喷淋终端系统、运维服务、管理服务。</w:t>
            </w:r>
          </w:p>
          <w:p>
            <w:pPr>
              <w:pStyle w:val="null3"/>
              <w:ind w:firstLine="480"/>
              <w:jc w:val="left"/>
            </w:pPr>
            <w:r>
              <w:rPr>
                <w:rFonts w:ascii="宋体" w:hAnsi="宋体" w:cs="宋体" w:eastAsia="宋体"/>
                <w:color w:val="000000"/>
                <w:sz w:val="24"/>
              </w:rPr>
              <w:t>①灯杆式喷淋终端系统</w:t>
            </w:r>
            <w:r>
              <w:rPr>
                <w:rFonts w:ascii="宋体" w:hAnsi="宋体" w:cs="宋体" w:eastAsia="宋体"/>
                <w:color w:val="000000"/>
                <w:sz w:val="24"/>
              </w:rPr>
              <w:t>：</w:t>
            </w:r>
            <w:r>
              <w:rPr>
                <w:rFonts w:ascii="宋体" w:hAnsi="宋体" w:cs="宋体" w:eastAsia="宋体"/>
                <w:color w:val="000000"/>
                <w:sz w:val="24"/>
              </w:rPr>
              <w:t>提供路灯安装的喷淋终端，根据道路实际情况，开展常态化喷淋降尘，帮助重点道路以及响应应急的辅助功能，同时具有专业化服务能力的工程师提供技术保障，帮助环境大气污染管控提供决策支撑。</w:t>
            </w:r>
          </w:p>
          <w:p>
            <w:pPr>
              <w:pStyle w:val="null3"/>
              <w:ind w:firstLine="480"/>
              <w:jc w:val="left"/>
            </w:pPr>
            <w:r>
              <w:rPr>
                <w:rFonts w:ascii="宋体" w:hAnsi="宋体" w:cs="宋体" w:eastAsia="宋体"/>
                <w:color w:val="000000"/>
                <w:sz w:val="24"/>
              </w:rPr>
              <w:t>②运维服务：使用期间供水供电管线巡检，阀门接头维护，喷头滤芯及润滑油等耗材及零配件的维修更换，水电损耗等内容。</w:t>
            </w:r>
          </w:p>
          <w:p>
            <w:pPr>
              <w:pStyle w:val="null3"/>
              <w:ind w:firstLine="480"/>
              <w:jc w:val="left"/>
            </w:pPr>
            <w:r>
              <w:rPr>
                <w:rFonts w:ascii="宋体" w:hAnsi="宋体" w:cs="宋体" w:eastAsia="宋体"/>
                <w:color w:val="000000"/>
                <w:sz w:val="24"/>
              </w:rPr>
              <w:t>③管理服务：</w:t>
            </w:r>
            <w:r>
              <w:rPr>
                <w:rFonts w:ascii="宋体" w:hAnsi="宋体" w:cs="宋体" w:eastAsia="宋体"/>
                <w:color w:val="000000"/>
                <w:sz w:val="24"/>
              </w:rPr>
              <w:t>提供</w:t>
            </w:r>
            <w:r>
              <w:rPr>
                <w:rFonts w:ascii="宋体" w:hAnsi="宋体" w:cs="宋体" w:eastAsia="宋体"/>
                <w:color w:val="000000"/>
                <w:sz w:val="24"/>
              </w:rPr>
              <w:t>7×24小时服务保障，保障系统的正常稳定运行，1小时内响应，2小时内到场解决故障；提供每周不少于3次现场巡查，及时检查供电、网络，保证设备正常运行；负责定期清洁采样部件，更换消耗品，确保设备工作在最佳状态。</w:t>
            </w:r>
          </w:p>
          <w:p>
            <w:pPr>
              <w:pStyle w:val="null3"/>
              <w:ind w:firstLine="480"/>
              <w:jc w:val="left"/>
            </w:pPr>
            <w:r>
              <w:rPr>
                <w:rFonts w:ascii="宋体" w:hAnsi="宋体" w:cs="宋体" w:eastAsia="宋体"/>
                <w:color w:val="000000"/>
                <w:sz w:val="24"/>
              </w:rPr>
              <w:t>备注：</w:t>
            </w:r>
            <w:r>
              <w:rPr>
                <w:rFonts w:ascii="宋体" w:hAnsi="宋体" w:cs="宋体" w:eastAsia="宋体"/>
                <w:color w:val="000000"/>
                <w:sz w:val="24"/>
              </w:rPr>
              <w:t>①</w:t>
            </w:r>
            <w:r>
              <w:rPr>
                <w:rFonts w:ascii="宋体" w:hAnsi="宋体" w:cs="宋体" w:eastAsia="宋体"/>
                <w:color w:val="000000"/>
                <w:sz w:val="24"/>
              </w:rPr>
              <w:t>水电费</w:t>
            </w:r>
            <w:r>
              <w:rPr>
                <w:rFonts w:ascii="宋体" w:hAnsi="宋体" w:cs="宋体" w:eastAsia="宋体"/>
                <w:color w:val="000000"/>
                <w:sz w:val="24"/>
              </w:rPr>
              <w:t>参照地方水电费用标准，按照平均每天运行</w:t>
            </w:r>
            <w:r>
              <w:rPr>
                <w:rFonts w:ascii="宋体" w:hAnsi="宋体" w:cs="宋体" w:eastAsia="宋体"/>
                <w:color w:val="000000"/>
                <w:sz w:val="24"/>
              </w:rPr>
              <w:t>4个小时，</w:t>
            </w:r>
            <w:r>
              <w:rPr>
                <w:rFonts w:ascii="宋体" w:hAnsi="宋体" w:cs="宋体" w:eastAsia="宋体"/>
                <w:color w:val="000000"/>
                <w:sz w:val="24"/>
              </w:rPr>
              <w:t>承担喷淋</w:t>
            </w:r>
            <w:r>
              <w:rPr>
                <w:rFonts w:ascii="宋体" w:hAnsi="宋体" w:cs="宋体" w:eastAsia="宋体"/>
                <w:color w:val="000000"/>
                <w:sz w:val="24"/>
              </w:rPr>
              <w:t>系统使用期间的水电费用。</w:t>
            </w:r>
          </w:p>
          <w:p>
            <w:pPr>
              <w:pStyle w:val="null3"/>
              <w:jc w:val="left"/>
            </w:pPr>
            <w:r>
              <w:rPr>
                <w:rFonts w:ascii="宋体" w:hAnsi="宋体" w:cs="宋体" w:eastAsia="宋体"/>
                <w:color w:val="000000"/>
                <w:sz w:val="24"/>
              </w:rPr>
              <w:t>②</w:t>
            </w:r>
            <w:r>
              <w:rPr>
                <w:rFonts w:ascii="宋体" w:hAnsi="宋体" w:cs="宋体" w:eastAsia="宋体"/>
                <w:color w:val="000000"/>
                <w:sz w:val="24"/>
              </w:rPr>
              <w:t>安装费及</w:t>
            </w:r>
            <w:r>
              <w:rPr>
                <w:rFonts w:ascii="宋体" w:hAnsi="宋体" w:cs="宋体" w:eastAsia="宋体"/>
                <w:color w:val="000000"/>
                <w:sz w:val="24"/>
              </w:rPr>
              <w:t>水电费</w:t>
            </w:r>
            <w:r>
              <w:rPr>
                <w:rFonts w:ascii="宋体" w:hAnsi="宋体" w:cs="宋体" w:eastAsia="宋体"/>
                <w:color w:val="000000"/>
                <w:sz w:val="24"/>
              </w:rPr>
              <w:t>均</w:t>
            </w:r>
            <w:r>
              <w:rPr>
                <w:rFonts w:ascii="宋体" w:hAnsi="宋体" w:cs="宋体" w:eastAsia="宋体"/>
                <w:color w:val="000000"/>
                <w:sz w:val="24"/>
              </w:rPr>
              <w:t>包含在</w:t>
            </w:r>
            <w:r>
              <w:rPr>
                <w:rFonts w:ascii="宋体" w:hAnsi="宋体" w:cs="宋体" w:eastAsia="宋体"/>
                <w:color w:val="000000"/>
                <w:sz w:val="24"/>
              </w:rPr>
              <w:t>灯杆式喷淋终端系统服务</w:t>
            </w:r>
            <w:r>
              <w:rPr>
                <w:rFonts w:ascii="宋体" w:hAnsi="宋体" w:cs="宋体" w:eastAsia="宋体"/>
                <w:color w:val="000000"/>
                <w:sz w:val="24"/>
              </w:rPr>
              <w:t>中</w:t>
            </w:r>
            <w:r>
              <w:rPr>
                <w:rFonts w:ascii="宋体" w:hAnsi="宋体" w:cs="宋体" w:eastAsia="宋体"/>
                <w:color w:val="000000"/>
                <w:sz w:val="24"/>
              </w:rPr>
              <w:t>。</w:t>
            </w:r>
          </w:p>
        </w:tc>
      </w:tr>
    </w:tbl>
    <w:p>
      <w:pPr>
        <w:pStyle w:val="null3"/>
        <w:outlineLvl w:val="2"/>
      </w:pPr>
      <w:r>
        <w:rPr>
          <w:b/>
          <w:sz w:val="28"/>
        </w:rPr>
        <w:t>3.2.3人员配置要求</w:t>
      </w:r>
    </w:p>
    <w:p>
      <w:pPr>
        <w:pStyle w:val="null3"/>
      </w:pPr>
      <w:r>
        <w:rPr/>
        <w:t>采购包1：</w:t>
      </w:r>
    </w:p>
    <w:p>
      <w:pPr>
        <w:pStyle w:val="null3"/>
      </w:pPr>
      <w:r>
        <w:rPr/>
        <w:t>/</w:t>
      </w:r>
    </w:p>
    <w:p>
      <w:pPr>
        <w:pStyle w:val="null3"/>
        <w:outlineLvl w:val="2"/>
      </w:pPr>
      <w:r>
        <w:rPr>
          <w:b/>
          <w:sz w:val="28"/>
        </w:rPr>
        <w:t>3.2.4设施设备要求</w:t>
      </w:r>
    </w:p>
    <w:p>
      <w:pPr>
        <w:pStyle w:val="null3"/>
      </w:pPr>
      <w:r>
        <w:rPr/>
        <w:t>采购包1：</w:t>
      </w:r>
    </w:p>
    <w:p>
      <w:pPr>
        <w:pStyle w:val="null3"/>
      </w:pPr>
      <w:r>
        <w:rPr/>
        <w:t>/</w:t>
      </w:r>
    </w:p>
    <w:p>
      <w:pPr>
        <w:pStyle w:val="null3"/>
        <w:outlineLvl w:val="2"/>
      </w:pPr>
      <w:r>
        <w:rPr>
          <w:b/>
          <w:sz w:val="28"/>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自合同签订之日起2年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1、以当月西安市大气污染治理专项行动领导小组办公室通报的《每日一报》为准，出租车走航告警秦汉大道（港务大道-纺渭路）、（欧亚大道-奥体大道部分路段）每月连续3天未进入出租车走航检测系统浓度排名后10的道路全额付款，连续3天进入出租车走航检测系统浓度排名后10扣除当月合同额的1％，连续7天进入出租车走航检测系统浓度排名后10扣除当月合同额的5％，连续30天进入出租车走航检测系统浓度排名后10甲方有权单方解除合同。 2、服务内容完成后先由乙方进行自检，自检合格后邀请甲方进行验收。甲方确认乙方的自检内容后，组织乙方进行最终验收，验收时乙方应派员参加，共同对验收结果进行确认，并承担相关责任。验收合格后，填写政府采购项目履约验收单作为对服务的最终认可。政府采购项目履约验收单（原件）送采购代理机构一份。 3、乙方向甲方提交服务实施过程中的所有资料。以便甲方日后管理和维护。 4、验收依据： 4.1磋商文件、响应文件、澄清表（函）； 4.2本合同及附件文本； 4.3国家相应的标准、规范。 5、双方拟定的其他条款。</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第一次付款为合同签订后支付预付款</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第二次付款为服务期一年后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第三次付款为服务期满后根据服务内容据实结算</w:t>
      </w:r>
      <w:r>
        <w:rPr/>
        <w:t xml:space="preserve"> ，达到付款条件起 </w:t>
      </w:r>
      <w:r>
        <w:rPr/>
        <w:t>30</w:t>
      </w:r>
      <w:r>
        <w:rPr/>
        <w:t xml:space="preserve"> 日内，支付合同总金额的 </w:t>
      </w:r>
      <w:r>
        <w:rPr/>
        <w:t>30.00</w:t>
      </w:r>
      <w:r>
        <w:rPr/>
        <w:t>%。</w:t>
      </w:r>
    </w:p>
    <w:p>
      <w:pPr>
        <w:pStyle w:val="null3"/>
        <w:outlineLvl w:val="3"/>
      </w:pPr>
      <w:r>
        <w:rPr>
          <w:b/>
          <w:sz w:val="24"/>
        </w:rPr>
        <w:t>3.3.6违约责任及解决争议的方法</w:t>
      </w:r>
    </w:p>
    <w:p>
      <w:pPr>
        <w:pStyle w:val="null3"/>
      </w:pPr>
      <w:r>
        <w:rPr/>
        <w:t>采购包1：</w:t>
      </w:r>
    </w:p>
    <w:p>
      <w:pPr>
        <w:pStyle w:val="null3"/>
      </w:pPr>
      <w:r>
        <w:rPr/>
        <w:t>违约责任：1、甲方违约责任 1）未按协议约定提供有关资料、数据和工作条件，导致乙方无法按协议约定完成工作任务，甲方承担逾期责任。 2）未按约定支付费用，每逾期一日，按未付经费的百分之一向乙方支付违约金。 3）承担因提供资料有误造成乙方返工或服务期延迟所增费用。 4）擅自终止协议，已支付工作经费不得要求返还，并向乙方支付相当于工作费用总额百分之五的违约金。 5、乙方违约责任 1）逾期未交付工作成果，每逾期一日，按已付工作经费的百分之一向甲方支付违约金，同时乙方应继续履行义务。逾期超过30日未交付工作成果，甲方有权解除协议，并要求返还支付的工作费用及相当于已支付费用百分之五的违约金。 2）擅自终止协议，应退还甲方已支付的工作费用，并向甲方支付相当于工作费用总额百分之五的违约金。因本合同产生纠纷，如协商无法解决，双方均有权向甲方所在地人民法院提起诉讼。</w:t>
      </w:r>
    </w:p>
    <w:p>
      <w:pPr>
        <w:pStyle w:val="null3"/>
        <w:outlineLvl w:val="2"/>
      </w:pPr>
      <w:r>
        <w:rPr>
          <w:b/>
          <w:sz w:val="28"/>
        </w:rPr>
        <w:t>3.4其他要求</w:t>
      </w:r>
    </w:p>
    <w:p>
      <w:pPr>
        <w:pStyle w:val="null3"/>
      </w:pPr>
      <w:r>
        <w:rPr/>
        <w:t>1、磋商报价是供应商应在磋商报价表中标明完成本项目所要求内容且验收合格的所有费用,包括但不限于人工费、安装、调试费、运维费、税金、采购代理服务费等其他一切相关费用。任何有选择的报价将不予接受，否则按无效磋商处理。 2、本项目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3、本章节第三次付款条件修改为： 第三次付款为服务期满后，根据服务内容据实结算，支付剩余结算价款。</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1、提供合格有效的法人或者其他组织的营业执照等证明文件，自然人的身份证明； 2、提供磋商截止时间前6个月内至少一个月的依法缴纳税收的相关凭据（时间以税款所属日期为准)，依法免税或无须缴纳税收的供应商应提供相关证明材料； 3、提供磋商截止时间前6个月内至少一个月的社会保障资金的相关材料，依法不需要缴纳社会保障金的供应商，需具有社保部门出具的证明文件； 4、提供具有履行合同所必需的设备和专业技术能力的承诺； 5、参加政府采购活动前3年内，在经营活动中没有重大违法记录的书面声明。</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商务条款偏离表 响应函 磋商方案说明书</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财务状况报告：提供2022年度或2023年度的财务审计报告或开标前3个月内供应商基本存款账户开户银行出具的资信证明及开户许可证（基本存款账户信息）；</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1、单位负责人为同一人或者存在直接控股、管理关系的供应商，不得参加同一合同下的政府采购活动； 2、为本项目提供过整体设计、规范编制或者项目管理、监理、检测等服务的供应商，不得再参加本项目采购活动。</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商务条款偏离表 响应函 磋商方案说明书</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法定代表人授权书/法定代表人身份证明</w:t>
            </w:r>
          </w:p>
        </w:tc>
        <w:tc>
          <w:tcPr>
            <w:tcW w:type="dxa" w:w="3322"/>
          </w:tcPr>
          <w:p>
            <w:pPr>
              <w:pStyle w:val="null3"/>
            </w:pPr>
            <w:r>
              <w:rPr/>
              <w:t>法定代表人授权书（附法定代表人、被授权人身份证复印件）（法定代表人直接参加磋商，须提供法定代表人身份证明）；</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r>
        <w:tc>
          <w:tcPr>
            <w:tcW w:type="dxa" w:w="831"/>
          </w:tcPr>
          <w:p>
            <w:pPr>
              <w:pStyle w:val="null3"/>
            </w:pPr>
            <w:r>
              <w:rPr/>
              <w:t>3</w:t>
            </w:r>
          </w:p>
        </w:tc>
        <w:tc>
          <w:tcPr>
            <w:tcW w:type="dxa" w:w="2492"/>
          </w:tcPr>
          <w:p>
            <w:pPr>
              <w:pStyle w:val="null3"/>
            </w:pPr>
            <w:r>
              <w:rPr/>
              <w:t>控股管理关系</w:t>
            </w:r>
          </w:p>
        </w:tc>
        <w:tc>
          <w:tcPr>
            <w:tcW w:type="dxa" w:w="3322"/>
          </w:tcPr>
          <w:p>
            <w:pPr>
              <w:pStyle w:val="null3"/>
            </w:pPr>
            <w:r>
              <w:rPr/>
              <w:t>单位负责人为同一人或者存在直接控股、管理关系的供应商，不得参加同一合同下的政府采购活动；</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r>
        <w:tc>
          <w:tcPr>
            <w:tcW w:type="dxa" w:w="831"/>
          </w:tcPr>
          <w:p>
            <w:pPr>
              <w:pStyle w:val="null3"/>
            </w:pPr>
            <w:r>
              <w:rPr/>
              <w:t>4</w:t>
            </w:r>
          </w:p>
        </w:tc>
        <w:tc>
          <w:tcPr>
            <w:tcW w:type="dxa" w:w="2492"/>
          </w:tcPr>
          <w:p>
            <w:pPr>
              <w:pStyle w:val="null3"/>
            </w:pPr>
            <w:r>
              <w:rPr/>
              <w:t>其他</w:t>
            </w:r>
          </w:p>
        </w:tc>
        <w:tc>
          <w:tcPr>
            <w:tcW w:type="dxa" w:w="3322"/>
          </w:tcPr>
          <w:p>
            <w:pPr>
              <w:pStyle w:val="null3"/>
            </w:pPr>
            <w:r>
              <w:rPr/>
              <w:t>为本项目提供过整体设计、规范编制或者项目管理、监理、检测等服务的供应商，不得再参加本项目采购活动；</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r>
        <w:tc>
          <w:tcPr>
            <w:tcW w:type="dxa" w:w="831"/>
          </w:tcPr>
          <w:p>
            <w:pPr>
              <w:pStyle w:val="null3"/>
            </w:pPr>
            <w:r>
              <w:rPr/>
              <w:t>5</w:t>
            </w:r>
          </w:p>
        </w:tc>
        <w:tc>
          <w:tcPr>
            <w:tcW w:type="dxa" w:w="2492"/>
          </w:tcPr>
          <w:p>
            <w:pPr>
              <w:pStyle w:val="null3"/>
            </w:pPr>
            <w:r>
              <w:rPr/>
              <w:t>联合体</w:t>
            </w:r>
          </w:p>
        </w:tc>
        <w:tc>
          <w:tcPr>
            <w:tcW w:type="dxa" w:w="3322"/>
          </w:tcPr>
          <w:p>
            <w:pPr>
              <w:pStyle w:val="null3"/>
            </w:pPr>
            <w:r>
              <w:rPr/>
              <w:t>本项目不接受联合体磋商，不允许分包。</w:t>
            </w:r>
          </w:p>
        </w:tc>
        <w:tc>
          <w:tcPr>
            <w:tcW w:type="dxa" w:w="1661"/>
          </w:tcPr>
          <w:p>
            <w:pPr>
              <w:pStyle w:val="null3"/>
            </w:pPr>
            <w:r>
              <w:rPr/>
              <w:t>响应文件封面 报价一览表 资格证明文件 声明函 业绩 其它说明 标的清单 陕西省政府采购供应商拒绝政府采购领域商业贿赂承诺书 磋商报价表 响应函 商务条款偏离表 磋商方案说明书</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磋商报价表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供应商根据对项目的理解，提供项目降尘、喷淋等实施服务方案。服务方案全面详尽、可行性强，实施便捷得10-15分；服务方案较全面、实施性较强得5-10分；服务方案一般得0-5分。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磋商报价表</w:t>
            </w:r>
          </w:p>
          <w:p>
            <w:pPr>
              <w:pStyle w:val="null3"/>
            </w:pPr>
            <w:r>
              <w:rPr/>
              <w:t>标的清单</w:t>
            </w:r>
          </w:p>
          <w:p>
            <w:pPr>
              <w:pStyle w:val="null3"/>
            </w:pPr>
            <w:r>
              <w:rPr/>
              <w:t>报价一览表</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业绩</w:t>
            </w:r>
          </w:p>
          <w:p>
            <w:pPr>
              <w:pStyle w:val="null3"/>
            </w:pPr>
            <w:r>
              <w:rPr/>
              <w:t>声明函</w:t>
            </w:r>
          </w:p>
          <w:p>
            <w:pPr>
              <w:pStyle w:val="null3"/>
            </w:pPr>
            <w:r>
              <w:rPr/>
              <w:t>其它说明</w:t>
            </w:r>
          </w:p>
          <w:p>
            <w:pPr>
              <w:pStyle w:val="null3"/>
            </w:pPr>
            <w:r>
              <w:rPr/>
              <w:t>磋商方案说明书</w:t>
            </w:r>
          </w:p>
        </w:tc>
      </w:tr>
      <w:tr>
        <w:tc>
          <w:tcPr>
            <w:tcW w:type="dxa" w:w="831"/>
            <w:vMerge/>
          </w:tcPr>
          <w:p/>
        </w:tc>
        <w:tc>
          <w:tcPr>
            <w:tcW w:type="dxa" w:w="1661"/>
          </w:tcPr>
          <w:p>
            <w:pPr>
              <w:pStyle w:val="null3"/>
            </w:pPr>
            <w:r>
              <w:rPr/>
              <w:t>项目团队配备</w:t>
            </w:r>
          </w:p>
        </w:tc>
        <w:tc>
          <w:tcPr>
            <w:tcW w:type="dxa" w:w="2492"/>
          </w:tcPr>
          <w:p>
            <w:pPr>
              <w:pStyle w:val="null3"/>
            </w:pPr>
            <w:r>
              <w:rPr/>
              <w:t>根据项目需求派驻实施团队，人员数量、专业结构合理，规模与项目需求相匹配，技术能力强，经验丰富得10-15分；团队配置人员技术能力、经验一般得5-10分；团队配置人员技术能力、经验较差得0-5分。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磋商报价表</w:t>
            </w:r>
          </w:p>
          <w:p>
            <w:pPr>
              <w:pStyle w:val="null3"/>
            </w:pPr>
            <w:r>
              <w:rPr/>
              <w:t>标的清单</w:t>
            </w:r>
          </w:p>
          <w:p>
            <w:pPr>
              <w:pStyle w:val="null3"/>
            </w:pPr>
            <w:r>
              <w:rPr/>
              <w:t>报价一览表</w:t>
            </w:r>
          </w:p>
          <w:p>
            <w:pPr>
              <w:pStyle w:val="null3"/>
            </w:pPr>
            <w:r>
              <w:rPr/>
              <w:t>磋商方案说明书</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业绩</w:t>
            </w:r>
          </w:p>
          <w:p>
            <w:pPr>
              <w:pStyle w:val="null3"/>
            </w:pPr>
            <w:r>
              <w:rPr/>
              <w:t>声明函</w:t>
            </w:r>
          </w:p>
          <w:p>
            <w:pPr>
              <w:pStyle w:val="null3"/>
            </w:pPr>
            <w:r>
              <w:rPr/>
              <w:t>其它说明</w:t>
            </w:r>
          </w:p>
        </w:tc>
      </w:tr>
      <w:tr>
        <w:tc>
          <w:tcPr>
            <w:tcW w:type="dxa" w:w="831"/>
            <w:vMerge/>
          </w:tcPr>
          <w:p/>
        </w:tc>
        <w:tc>
          <w:tcPr>
            <w:tcW w:type="dxa" w:w="1661"/>
          </w:tcPr>
          <w:p>
            <w:pPr>
              <w:pStyle w:val="null3"/>
            </w:pPr>
            <w:r>
              <w:rPr/>
              <w:t>重难点分析</w:t>
            </w:r>
          </w:p>
        </w:tc>
        <w:tc>
          <w:tcPr>
            <w:tcW w:type="dxa" w:w="2492"/>
          </w:tcPr>
          <w:p>
            <w:pPr>
              <w:pStyle w:val="null3"/>
            </w:pPr>
            <w:r>
              <w:rPr/>
              <w:t>供应商根据对项目得理解，分析项目实施过程中的潜在重难点工作，并提出解决方案。重难点把握准确，解决方案合理得7-10分；重难点把握一般得，解决方案较合理得4-7分；重难点把握不准确得0-4分。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磋商报价表</w:t>
            </w:r>
          </w:p>
          <w:p>
            <w:pPr>
              <w:pStyle w:val="null3"/>
            </w:pPr>
            <w:r>
              <w:rPr/>
              <w:t>标的清单</w:t>
            </w:r>
          </w:p>
          <w:p>
            <w:pPr>
              <w:pStyle w:val="null3"/>
            </w:pPr>
            <w:r>
              <w:rPr/>
              <w:t>报价一览表</w:t>
            </w:r>
          </w:p>
          <w:p>
            <w:pPr>
              <w:pStyle w:val="null3"/>
            </w:pPr>
            <w:r>
              <w:rPr/>
              <w:t>磋商方案说明书</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业绩</w:t>
            </w:r>
          </w:p>
          <w:p>
            <w:pPr>
              <w:pStyle w:val="null3"/>
            </w:pPr>
            <w:r>
              <w:rPr/>
              <w:t>声明函</w:t>
            </w:r>
          </w:p>
          <w:p>
            <w:pPr>
              <w:pStyle w:val="null3"/>
            </w:pPr>
            <w:r>
              <w:rPr/>
              <w:t>其它说明</w:t>
            </w:r>
          </w:p>
        </w:tc>
      </w:tr>
      <w:tr>
        <w:tc>
          <w:tcPr>
            <w:tcW w:type="dxa" w:w="831"/>
            <w:vMerge/>
          </w:tcPr>
          <w:p/>
        </w:tc>
        <w:tc>
          <w:tcPr>
            <w:tcW w:type="dxa" w:w="1661"/>
          </w:tcPr>
          <w:p>
            <w:pPr>
              <w:pStyle w:val="null3"/>
            </w:pPr>
            <w:r>
              <w:rPr/>
              <w:t>进度保证措施</w:t>
            </w:r>
          </w:p>
        </w:tc>
        <w:tc>
          <w:tcPr>
            <w:tcW w:type="dxa" w:w="2492"/>
          </w:tcPr>
          <w:p>
            <w:pPr>
              <w:pStyle w:val="null3"/>
            </w:pPr>
            <w:r>
              <w:rPr/>
              <w:t>供应商根据项目特点，提供项目实施的进度保证措施，确保项目高效、高质量完成。措施科学、合理得7-10分；措施较合理、实时性较强得4-7分；措施一般得0-4分。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磋商报价表</w:t>
            </w:r>
          </w:p>
          <w:p>
            <w:pPr>
              <w:pStyle w:val="null3"/>
            </w:pPr>
            <w:r>
              <w:rPr/>
              <w:t>标的清单</w:t>
            </w:r>
          </w:p>
          <w:p>
            <w:pPr>
              <w:pStyle w:val="null3"/>
            </w:pPr>
            <w:r>
              <w:rPr/>
              <w:t>报价一览表</w:t>
            </w:r>
          </w:p>
          <w:p>
            <w:pPr>
              <w:pStyle w:val="null3"/>
            </w:pPr>
            <w:r>
              <w:rPr/>
              <w:t>磋商方案说明书</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业绩</w:t>
            </w:r>
          </w:p>
          <w:p>
            <w:pPr>
              <w:pStyle w:val="null3"/>
            </w:pPr>
            <w:r>
              <w:rPr/>
              <w:t>声明函</w:t>
            </w:r>
          </w:p>
          <w:p>
            <w:pPr>
              <w:pStyle w:val="null3"/>
            </w:pPr>
            <w:r>
              <w:rPr/>
              <w:t>其它说明</w:t>
            </w:r>
          </w:p>
        </w:tc>
      </w:tr>
      <w:tr>
        <w:tc>
          <w:tcPr>
            <w:tcW w:type="dxa" w:w="831"/>
            <w:vMerge/>
          </w:tcPr>
          <w:p/>
        </w:tc>
        <w:tc>
          <w:tcPr>
            <w:tcW w:type="dxa" w:w="1661"/>
          </w:tcPr>
          <w:p>
            <w:pPr>
              <w:pStyle w:val="null3"/>
            </w:pPr>
            <w:r>
              <w:rPr/>
              <w:t>质量保证措施</w:t>
            </w:r>
          </w:p>
        </w:tc>
        <w:tc>
          <w:tcPr>
            <w:tcW w:type="dxa" w:w="2492"/>
          </w:tcPr>
          <w:p>
            <w:pPr>
              <w:pStyle w:val="null3"/>
            </w:pPr>
            <w:r>
              <w:rPr/>
              <w:t>措施内容完整详尽，责任制度明确，人员管理措施可行强得4-8分；措施内容无缺漏，责任制度措施、人员管理措施一般得0-4分。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磋商报价表</w:t>
            </w:r>
          </w:p>
          <w:p>
            <w:pPr>
              <w:pStyle w:val="null3"/>
            </w:pPr>
            <w:r>
              <w:rPr/>
              <w:t>标的清单</w:t>
            </w:r>
          </w:p>
          <w:p>
            <w:pPr>
              <w:pStyle w:val="null3"/>
            </w:pPr>
            <w:r>
              <w:rPr/>
              <w:t>报价一览表</w:t>
            </w:r>
          </w:p>
          <w:p>
            <w:pPr>
              <w:pStyle w:val="null3"/>
            </w:pPr>
            <w:r>
              <w:rPr/>
              <w:t>磋商方案说明书</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业绩</w:t>
            </w:r>
          </w:p>
          <w:p>
            <w:pPr>
              <w:pStyle w:val="null3"/>
            </w:pPr>
            <w:r>
              <w:rPr/>
              <w:t>声明函</w:t>
            </w:r>
          </w:p>
          <w:p>
            <w:pPr>
              <w:pStyle w:val="null3"/>
            </w:pPr>
            <w:r>
              <w:rPr/>
              <w:t>其它说明</w:t>
            </w:r>
          </w:p>
        </w:tc>
      </w:tr>
      <w:tr>
        <w:tc>
          <w:tcPr>
            <w:tcW w:type="dxa" w:w="831"/>
            <w:vMerge/>
          </w:tcPr>
          <w:p/>
        </w:tc>
        <w:tc>
          <w:tcPr>
            <w:tcW w:type="dxa" w:w="1661"/>
          </w:tcPr>
          <w:p>
            <w:pPr>
              <w:pStyle w:val="null3"/>
            </w:pPr>
            <w:r>
              <w:rPr/>
              <w:t>合理化建议</w:t>
            </w:r>
          </w:p>
        </w:tc>
        <w:tc>
          <w:tcPr>
            <w:tcW w:type="dxa" w:w="2492"/>
          </w:tcPr>
          <w:p>
            <w:pPr>
              <w:pStyle w:val="null3"/>
            </w:pPr>
            <w:r>
              <w:rPr/>
              <w:t>有利于本项目工作顺利进行的合理化建议详细合理，针对性强得3-7分；较详细得0-3分。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磋商报价表</w:t>
            </w:r>
          </w:p>
          <w:p>
            <w:pPr>
              <w:pStyle w:val="null3"/>
            </w:pPr>
            <w:r>
              <w:rPr/>
              <w:t>标的清单</w:t>
            </w:r>
          </w:p>
          <w:p>
            <w:pPr>
              <w:pStyle w:val="null3"/>
            </w:pPr>
            <w:r>
              <w:rPr/>
              <w:t>报价一览表</w:t>
            </w:r>
          </w:p>
          <w:p>
            <w:pPr>
              <w:pStyle w:val="null3"/>
            </w:pPr>
            <w:r>
              <w:rPr/>
              <w:t>磋商方案说明书</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业绩</w:t>
            </w:r>
          </w:p>
          <w:p>
            <w:pPr>
              <w:pStyle w:val="null3"/>
            </w:pPr>
            <w:r>
              <w:rPr/>
              <w:t>声明函</w:t>
            </w:r>
          </w:p>
          <w:p>
            <w:pPr>
              <w:pStyle w:val="null3"/>
            </w:pPr>
            <w:r>
              <w:rPr/>
              <w:t>其它说明</w:t>
            </w:r>
          </w:p>
        </w:tc>
      </w:tr>
      <w:tr>
        <w:tc>
          <w:tcPr>
            <w:tcW w:type="dxa" w:w="831"/>
            <w:vMerge/>
          </w:tcPr>
          <w:p/>
        </w:tc>
        <w:tc>
          <w:tcPr>
            <w:tcW w:type="dxa" w:w="1661"/>
          </w:tcPr>
          <w:p>
            <w:pPr>
              <w:pStyle w:val="null3"/>
            </w:pPr>
            <w:r>
              <w:rPr/>
              <w:t>业绩</w:t>
            </w:r>
          </w:p>
        </w:tc>
        <w:tc>
          <w:tcPr>
            <w:tcW w:type="dxa" w:w="2492"/>
          </w:tcPr>
          <w:p>
            <w:pPr>
              <w:pStyle w:val="null3"/>
            </w:pPr>
            <w:r>
              <w:rPr/>
              <w:t>具有2021年1月1日至今类似业绩，提供一个计2.5分，本项最多得5分。未提供不得分。 注：业绩证明资料以合同或中标（成交）通知书为准。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响应文件封面</w:t>
            </w:r>
          </w:p>
          <w:p>
            <w:pPr>
              <w:pStyle w:val="null3"/>
            </w:pPr>
            <w:r>
              <w:rPr/>
              <w:t>响应函</w:t>
            </w:r>
          </w:p>
          <w:p>
            <w:pPr>
              <w:pStyle w:val="null3"/>
            </w:pPr>
            <w:r>
              <w:rPr/>
              <w:t>磋商报价表</w:t>
            </w:r>
          </w:p>
          <w:p>
            <w:pPr>
              <w:pStyle w:val="null3"/>
            </w:pPr>
            <w:r>
              <w:rPr/>
              <w:t>标的清单</w:t>
            </w:r>
          </w:p>
          <w:p>
            <w:pPr>
              <w:pStyle w:val="null3"/>
            </w:pPr>
            <w:r>
              <w:rPr/>
              <w:t>报价一览表</w:t>
            </w:r>
          </w:p>
          <w:p>
            <w:pPr>
              <w:pStyle w:val="null3"/>
            </w:pPr>
            <w:r>
              <w:rPr/>
              <w:t>磋商方案说明书</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业绩</w:t>
            </w:r>
          </w:p>
          <w:p>
            <w:pPr>
              <w:pStyle w:val="null3"/>
            </w:pPr>
            <w:r>
              <w:rPr/>
              <w:t>声明函</w:t>
            </w:r>
          </w:p>
          <w:p>
            <w:pPr>
              <w:pStyle w:val="null3"/>
            </w:pPr>
            <w:r>
              <w:rPr/>
              <w:t>其它说明</w:t>
            </w:r>
          </w:p>
        </w:tc>
      </w:tr>
      <w:tr>
        <w:tc>
          <w:tcPr>
            <w:tcW w:type="dxa" w:w="831"/>
            <w:vMerge/>
          </w:tcPr>
          <w:p/>
        </w:tc>
        <w:tc>
          <w:tcPr>
            <w:tcW w:type="dxa" w:w="1661"/>
          </w:tcPr>
          <w:p>
            <w:pPr>
              <w:pStyle w:val="null3"/>
            </w:pPr>
            <w:r>
              <w:rPr/>
              <w:t>服务承诺</w:t>
            </w:r>
          </w:p>
        </w:tc>
        <w:tc>
          <w:tcPr>
            <w:tcW w:type="dxa" w:w="2492"/>
          </w:tcPr>
          <w:p>
            <w:pPr>
              <w:pStyle w:val="null3"/>
            </w:pPr>
            <w:r>
              <w:rPr/>
              <w:t>对比各供应商服务承诺，承诺事项具体、可行、可操作性强得7-10分；承诺事项较具体、可行、可操作性较强得4-7分；承诺事项不具体或较差得0-4分。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磋商报价表</w:t>
            </w:r>
          </w:p>
          <w:p>
            <w:pPr>
              <w:pStyle w:val="null3"/>
            </w:pPr>
            <w:r>
              <w:rPr/>
              <w:t>标的清单</w:t>
            </w:r>
          </w:p>
          <w:p>
            <w:pPr>
              <w:pStyle w:val="null3"/>
            </w:pPr>
            <w:r>
              <w:rPr/>
              <w:t>报价一览表</w:t>
            </w:r>
          </w:p>
          <w:p>
            <w:pPr>
              <w:pStyle w:val="null3"/>
            </w:pPr>
            <w:r>
              <w:rPr/>
              <w:t>磋商方案说明书</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业绩</w:t>
            </w:r>
          </w:p>
          <w:p>
            <w:pPr>
              <w:pStyle w:val="null3"/>
            </w:pPr>
            <w:r>
              <w:rPr/>
              <w:t>声明函</w:t>
            </w:r>
          </w:p>
          <w:p>
            <w:pPr>
              <w:pStyle w:val="null3"/>
            </w:pPr>
            <w:r>
              <w:rPr/>
              <w:t>其它说明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1.经初审合格的磋商响应文件，其磋商报价为有效磋商报价。对符合政策性扣减的有效磋商报价进行政策性扣减，并依据扣减后的价格（评审价格）进行价格评审。 2.有效最低报价为基准价得20分。 3.按（有效最低报价/有效磋商报价）×20的公式计算其得分。 4.磋商报价不完整的，不进入评标基准价的计算，本项得0分。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响应文件封面</w:t>
            </w:r>
          </w:p>
          <w:p>
            <w:pPr>
              <w:pStyle w:val="null3"/>
            </w:pPr>
            <w:r>
              <w:rPr/>
              <w:t>响应函</w:t>
            </w:r>
          </w:p>
          <w:p>
            <w:pPr>
              <w:pStyle w:val="null3"/>
            </w:pPr>
            <w:r>
              <w:rPr/>
              <w:t>磋商报价表</w:t>
            </w:r>
          </w:p>
          <w:p>
            <w:pPr>
              <w:pStyle w:val="null3"/>
            </w:pPr>
            <w:r>
              <w:rPr/>
              <w:t>标的清单</w:t>
            </w:r>
          </w:p>
          <w:p>
            <w:pPr>
              <w:pStyle w:val="null3"/>
            </w:pPr>
            <w:r>
              <w:rPr/>
              <w:t>报价一览表</w:t>
            </w:r>
          </w:p>
          <w:p>
            <w:pPr>
              <w:pStyle w:val="null3"/>
            </w:pPr>
            <w:r>
              <w:rPr/>
              <w:t>磋商方案说明书</w:t>
            </w:r>
          </w:p>
          <w:p>
            <w:pPr>
              <w:pStyle w:val="null3"/>
            </w:pPr>
            <w:r>
              <w:rPr/>
              <w:t>商务条款偏离表</w:t>
            </w:r>
          </w:p>
          <w:p>
            <w:pPr>
              <w:pStyle w:val="null3"/>
            </w:pPr>
            <w:r>
              <w:rPr/>
              <w:t>陕西省政府采购供应商拒绝政府采购领域商业贿赂承诺书</w:t>
            </w:r>
          </w:p>
          <w:p>
            <w:pPr>
              <w:pStyle w:val="null3"/>
            </w:pPr>
            <w:r>
              <w:rPr/>
              <w:t>资格证明文件</w:t>
            </w:r>
          </w:p>
          <w:p>
            <w:pPr>
              <w:pStyle w:val="null3"/>
            </w:pPr>
            <w:r>
              <w:rPr/>
              <w:t>业绩</w:t>
            </w:r>
          </w:p>
          <w:p>
            <w:pPr>
              <w:pStyle w:val="null3"/>
            </w:pPr>
            <w:r>
              <w:rPr/>
              <w:t>声明函</w:t>
            </w:r>
          </w:p>
          <w:p>
            <w:pPr>
              <w:pStyle w:val="null3"/>
            </w:pPr>
            <w:r>
              <w:rPr/>
              <w:t>其它说明</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详见附件：磋商报价表</w:t>
      </w:r>
    </w:p>
    <w:p>
      <w:pPr>
        <w:pStyle w:val="null3"/>
        <w:ind w:firstLine="960"/>
      </w:pPr>
      <w:r>
        <w:rPr/>
        <w:t>详见附件：标的清单</w:t>
      </w:r>
    </w:p>
    <w:p>
      <w:pPr>
        <w:pStyle w:val="null3"/>
        <w:ind w:firstLine="960"/>
      </w:pPr>
      <w:r>
        <w:rPr/>
        <w:t>详见附件：报价一览表</w:t>
      </w:r>
    </w:p>
    <w:p>
      <w:pPr>
        <w:pStyle w:val="null3"/>
        <w:ind w:firstLine="960"/>
      </w:pPr>
      <w:r>
        <w:rPr/>
        <w:t>详见附件：磋商方案说明书</w:t>
      </w:r>
    </w:p>
    <w:p>
      <w:pPr>
        <w:pStyle w:val="null3"/>
        <w:ind w:firstLine="960"/>
      </w:pPr>
      <w:r>
        <w:rPr/>
        <w:t>详见附件：商务条款偏离表</w:t>
      </w:r>
    </w:p>
    <w:p>
      <w:pPr>
        <w:pStyle w:val="null3"/>
        <w:ind w:firstLine="960"/>
      </w:pPr>
      <w:r>
        <w:rPr/>
        <w:t>详见附件：陕西省政府采购供应商拒绝政府采购领域商业贿赂承诺书</w:t>
      </w:r>
    </w:p>
    <w:p>
      <w:pPr>
        <w:pStyle w:val="null3"/>
        <w:ind w:firstLine="960"/>
      </w:pPr>
      <w:r>
        <w:rPr/>
        <w:t>详见附件：资格证明文件</w:t>
      </w:r>
    </w:p>
    <w:p>
      <w:pPr>
        <w:pStyle w:val="null3"/>
        <w:ind w:firstLine="960"/>
      </w:pPr>
      <w:r>
        <w:rPr/>
        <w:t>详见附件：业绩</w:t>
      </w:r>
    </w:p>
    <w:p>
      <w:pPr>
        <w:pStyle w:val="null3"/>
        <w:ind w:firstLine="960"/>
      </w:pPr>
      <w:r>
        <w:rPr/>
        <w:t>详见附件：声明函</w:t>
      </w:r>
    </w:p>
    <w:p>
      <w:pPr>
        <w:pStyle w:val="null3"/>
        <w:ind w:firstLine="960"/>
      </w:pPr>
      <w:r>
        <w:rPr/>
        <w:t>详见附件：其它说明</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详见附件：第八章 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