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新合街道兴南村农村饮水工程水质提升项目</w:t>
      </w:r>
    </w:p>
    <w:p>
      <w:pPr>
        <w:pStyle w:val="null3"/>
        <w:jc w:val="center"/>
        <w:outlineLvl w:val="2"/>
      </w:pPr>
      <w:r>
        <w:rPr>
          <w:b/>
          <w:sz w:val="28"/>
        </w:rPr>
        <w:t>采购项目编号：</w:t>
      </w:r>
      <w:r>
        <w:rPr>
          <w:b/>
          <w:sz w:val="28"/>
        </w:rPr>
        <w:t>GWZC-2024-045、XBZB-2024-037</w:t>
      </w:r>
      <w:r>
        <w:br/>
      </w:r>
      <w:r>
        <w:br/>
      </w:r>
      <w:r>
        <w:br/>
      </w:r>
    </w:p>
    <w:p>
      <w:pPr>
        <w:pStyle w:val="null3"/>
        <w:jc w:val="center"/>
        <w:outlineLvl w:val="2"/>
      </w:pPr>
      <w:r>
        <w:rPr>
          <w:b/>
          <w:sz w:val="28"/>
        </w:rPr>
        <w:t>西安国际港务区生态环境局</w:t>
      </w:r>
    </w:p>
    <w:p>
      <w:pPr>
        <w:pStyle w:val="null3"/>
        <w:jc w:val="center"/>
        <w:outlineLvl w:val="2"/>
      </w:pPr>
      <w:r>
        <w:rPr>
          <w:b/>
          <w:sz w:val="28"/>
        </w:rPr>
        <w:t>西北国际（陕西）造价管理集团有限公司</w:t>
      </w:r>
      <w:r>
        <w:rPr>
          <w:b/>
          <w:sz w:val="28"/>
        </w:rPr>
        <w:t>共同编制</w:t>
      </w:r>
    </w:p>
    <w:p>
      <w:pPr>
        <w:pStyle w:val="null3"/>
        <w:jc w:val="center"/>
        <w:outlineLvl w:val="2"/>
      </w:pPr>
      <w:r>
        <w:rPr>
          <w:b/>
          <w:sz w:val="28"/>
        </w:rPr>
        <w:t>2024年05月11日</w:t>
      </w:r>
    </w:p>
    <w:p>
      <w:pPr>
        <w:pStyle w:val="null3"/>
      </w:pPr>
      <w:r>
        <w:rPr/>
        <w:t xml:space="preserve"> </w:t>
        <w:br/>
        <w:br w:type="page"/>
      </w:r>
    </w:p>
    <w:p>
      <w:pPr>
        <w:pStyle w:val="null3"/>
        <w:jc w:val="center"/>
        <w:outlineLvl w:val="1"/>
      </w:pPr>
      <w:r>
        <w:rPr>
          <w:b/>
          <w:sz w:val="36"/>
        </w:rPr>
        <w:t>第一章 竞争性磋商邀请</w:t>
      </w:r>
    </w:p>
    <w:p>
      <w:pPr>
        <w:pStyle w:val="null3"/>
        <w:ind w:firstLine="480"/>
      </w:pPr>
      <w:r>
        <w:rPr/>
        <w:t>西北国际（陕西）造价管理集团有限公司</w:t>
      </w:r>
      <w:r>
        <w:rPr/>
        <w:t>（以下简称“代理机构”）受</w:t>
      </w:r>
      <w:r>
        <w:rPr/>
        <w:t>西安国际港务区生态环境局</w:t>
      </w:r>
      <w:r>
        <w:rPr/>
        <w:t>委托，拟对</w:t>
      </w:r>
      <w:r>
        <w:rPr/>
        <w:t>新合街道兴南村农村饮水工程水质提升项目</w:t>
      </w:r>
      <w:r>
        <w:rPr/>
        <w:t>采用竞争性磋商采购方式进行采购，兹邀请供应商参加本项目的竞争性磋商。</w:t>
      </w:r>
    </w:p>
    <w:p>
      <w:pPr>
        <w:pStyle w:val="null3"/>
        <w:outlineLvl w:val="2"/>
      </w:pPr>
      <w:r>
        <w:rPr>
          <w:b/>
          <w:sz w:val="28"/>
        </w:rPr>
        <w:t>一、采购项目编号：</w:t>
      </w:r>
      <w:r>
        <w:rPr>
          <w:b/>
          <w:sz w:val="28"/>
        </w:rPr>
        <w:t>GWZC-2024-045、XBZB-2024-037</w:t>
      </w:r>
    </w:p>
    <w:p>
      <w:pPr>
        <w:pStyle w:val="null3"/>
        <w:outlineLvl w:val="2"/>
      </w:pPr>
      <w:r>
        <w:rPr>
          <w:b/>
          <w:sz w:val="28"/>
        </w:rPr>
        <w:t>二、采购项目名称：</w:t>
      </w:r>
      <w:r>
        <w:rPr>
          <w:b/>
          <w:sz w:val="28"/>
        </w:rPr>
        <w:t>新合街道兴南村农村饮水工程水质提升项目</w:t>
      </w:r>
    </w:p>
    <w:p>
      <w:pPr>
        <w:pStyle w:val="null3"/>
        <w:outlineLvl w:val="2"/>
      </w:pPr>
      <w:r>
        <w:rPr>
          <w:b/>
          <w:sz w:val="28"/>
        </w:rPr>
        <w:t>三、磋商项目简介</w:t>
      </w:r>
    </w:p>
    <w:p>
      <w:pPr>
        <w:pStyle w:val="null3"/>
        <w:ind w:firstLine="480"/>
      </w:pPr>
      <w:r>
        <w:rPr/>
        <w:t>新合街道兴南村农村饮水工程水质提升</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采购包1（新合街道兴南村农村饮水工程水质提升项目）：属于专门面向中小企业采购。</w:t>
      </w:r>
    </w:p>
    <w:p>
      <w:pPr>
        <w:pStyle w:val="null3"/>
        <w:ind w:firstLine="480"/>
      </w:pPr>
      <w:r>
        <w:rPr/>
        <w:t>（三）本项目的特定资格要求：</w:t>
      </w:r>
    </w:p>
    <w:p>
      <w:pPr>
        <w:pStyle w:val="null3"/>
      </w:pPr>
      <w:r>
        <w:rPr/>
        <w:t>采购包1：</w:t>
      </w:r>
    </w:p>
    <w:p>
      <w:pPr>
        <w:pStyle w:val="null3"/>
      </w:pPr>
      <w:r>
        <w:rPr/>
        <w:t>1、法定代表人授权书：法定代表人授权书或法定代表人身份证明：法定代表人授权书（附法定代表人、被授权人身份证复印件）；法定代表人直接参加投标，须提供法定代表人身份证明</w:t>
      </w:r>
    </w:p>
    <w:p>
      <w:pPr>
        <w:pStyle w:val="null3"/>
      </w:pPr>
      <w:r>
        <w:rPr/>
        <w:t>2、资质要求：供应商具备建设行政主管部门颁发的市政公用工程总承包三级及以上或机电工程施工总承包三级及以上资质，同时具有合格有效的安全生产许可证；资质信息在“陕西建设网（http://js.shaanxi.gov.cn/）”可查询</w:t>
      </w:r>
    </w:p>
    <w:p>
      <w:pPr>
        <w:pStyle w:val="null3"/>
      </w:pPr>
      <w:r>
        <w:rPr/>
        <w:t>3、项目经理：拟派项目经理须具有市政公用工程专业或机电工程专业二级及以上注册建造师证书和有效的安全生产考核证书（B证），在本单位注册，且无在建工程、无不良记录（提供无在建工程、无不良记录承诺书）；项目经理资质信息在“陕西建设网（http://js.shaanxi.gov.cn/）”可查询</w:t>
      </w:r>
    </w:p>
    <w:p>
      <w:pPr>
        <w:pStyle w:val="null3"/>
      </w:pPr>
      <w:r>
        <w:rPr/>
        <w:t>4、信用信息：信用截图：供应商未被“信用中国” 网站（www.creditchina.gov.cn）列入失信被执行人和重大税收违法失信主体，未被中国政府采购网（www.ccgp.gov.cn）列入政府采购严重违法失信行为记录名单</w:t>
      </w:r>
    </w:p>
    <w:p>
      <w:pPr>
        <w:pStyle w:val="null3"/>
      </w:pPr>
      <w:r>
        <w:rPr/>
        <w:t>5、非联合体声明：供应商应须在资格条件中附非联合体声明书</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西安国际港务区生态环境局</w:t>
      </w:r>
    </w:p>
    <w:p>
      <w:pPr>
        <w:pStyle w:val="null3"/>
      </w:pPr>
      <w:r>
        <w:rPr/>
        <w:t xml:space="preserve"> 地址： </w:t>
      </w:r>
      <w:r>
        <w:rPr/>
        <w:t>西安国际港务区港务大道6号</w:t>
      </w:r>
    </w:p>
    <w:p>
      <w:pPr>
        <w:pStyle w:val="null3"/>
      </w:pPr>
      <w:r>
        <w:rPr/>
        <w:t xml:space="preserve"> 邮编： </w:t>
      </w:r>
      <w:r>
        <w:rPr/>
        <w:t>710026</w:t>
      </w:r>
    </w:p>
    <w:p>
      <w:pPr>
        <w:pStyle w:val="null3"/>
      </w:pPr>
      <w:r>
        <w:rPr/>
        <w:t xml:space="preserve"> 联系人： </w:t>
      </w:r>
      <w:r>
        <w:rPr/>
        <w:t>郝老师</w:t>
      </w:r>
    </w:p>
    <w:p>
      <w:pPr>
        <w:pStyle w:val="null3"/>
      </w:pPr>
      <w:r>
        <w:rPr/>
        <w:t xml:space="preserve"> 联系电话： </w:t>
      </w:r>
      <w:r>
        <w:rPr/>
        <w:t>029-82521195</w:t>
      </w:r>
    </w:p>
    <w:p>
      <w:pPr>
        <w:pStyle w:val="null3"/>
        <w:outlineLvl w:val="3"/>
      </w:pPr>
      <w:r>
        <w:rPr>
          <w:b/>
          <w:sz w:val="24"/>
        </w:rPr>
        <w:t>代理机构：</w:t>
      </w:r>
      <w:r>
        <w:rPr>
          <w:b/>
          <w:sz w:val="24"/>
        </w:rPr>
        <w:t>西北国际（陕西）造价管理集团有限公司</w:t>
      </w:r>
    </w:p>
    <w:p>
      <w:pPr>
        <w:pStyle w:val="null3"/>
      </w:pPr>
      <w:r>
        <w:rPr/>
        <w:t xml:space="preserve"> 地址： </w:t>
      </w:r>
      <w:r>
        <w:rPr/>
        <w:t>陕西省西安市碑林区长安国际中心F座17层</w:t>
      </w:r>
    </w:p>
    <w:p>
      <w:pPr>
        <w:pStyle w:val="null3"/>
      </w:pPr>
      <w:r>
        <w:rPr/>
        <w:t xml:space="preserve"> 邮编： </w:t>
      </w:r>
      <w:r>
        <w:rPr/>
        <w:t>710065</w:t>
      </w:r>
    </w:p>
    <w:p>
      <w:pPr>
        <w:pStyle w:val="null3"/>
      </w:pPr>
      <w:r>
        <w:rPr/>
        <w:t xml:space="preserve"> 联系人： </w:t>
      </w:r>
      <w:r>
        <w:rPr/>
        <w:t>张工</w:t>
      </w:r>
    </w:p>
    <w:p>
      <w:pPr>
        <w:pStyle w:val="null3"/>
      </w:pPr>
      <w:r>
        <w:rPr/>
        <w:t xml:space="preserve"> 联系电话： </w:t>
      </w:r>
      <w:r>
        <w:rPr/>
        <w:t>13299036777</w:t>
      </w:r>
    </w:p>
    <w:p>
      <w:pPr>
        <w:pStyle w:val="null3"/>
        <w:outlineLvl w:val="3"/>
      </w:pPr>
      <w:r>
        <w:rPr>
          <w:b/>
          <w:sz w:val="24"/>
        </w:rPr>
        <w:t>采购监督机构：</w:t>
      </w:r>
      <w:r>
        <w:rPr>
          <w:b/>
          <w:sz w:val="24"/>
        </w:rPr>
        <w:t>西安国际港务区管理委员会政府采购管理股</w:t>
      </w:r>
    </w:p>
    <w:p>
      <w:pPr>
        <w:pStyle w:val="null3"/>
        <w:ind w:firstLine="480"/>
      </w:pPr>
      <w:r>
        <w:rPr/>
        <w:t>联系人：</w:t>
      </w:r>
      <w:r>
        <w:rPr/>
        <w:t>马重霄</w:t>
      </w:r>
    </w:p>
    <w:p>
      <w:pPr>
        <w:pStyle w:val="null3"/>
        <w:ind w:firstLine="480"/>
      </w:pPr>
      <w:r>
        <w:rPr/>
        <w:t>联系电话：</w:t>
      </w:r>
      <w:r>
        <w:rPr/>
        <w:t>83332439</w:t>
      </w:r>
    </w:p>
    <w:p>
      <w:pPr>
        <w:pStyle w:val="null3"/>
      </w:pPr>
      <w:r>
        <w:rPr/>
        <w:t xml:space="preserve"> </w:t>
        <w:br/>
        <w:br w:type="page"/>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采购包1：800,000.00元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成交供应商在领取《成交通知书》之前，向采购代理机构一次付清招标代理服务费。采购代理服务费的金额参照《招标代理服务收费管理暂行办法》计价格[2002]1980号文、《国家发展改革委关于降低部分建设项目收费标准规范收费行为等有关问题的通知》发改价格[2011]534号文，以预算金额为基数,按工程类标准计取。 户名：西北国际（陕西）造价管理集团有限公司 开户行：招商银行股份有限公司西安雁塔路支行 账号：129912898210301</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西安国际港务区生态环境局</w:t>
      </w:r>
      <w:r>
        <w:rPr/>
        <w:t>和</w:t>
      </w:r>
      <w:r>
        <w:rPr/>
        <w:t>西北国际（陕西）造价管理集团有限公司</w:t>
      </w:r>
      <w:r>
        <w:rPr/>
        <w:t>享有。对磋商文件中供应商参加本次政府采购活动应当具备的条件，磋商项目技术、服务、商务及其他要求，评审细则及标准由</w:t>
      </w:r>
      <w:r>
        <w:rPr/>
        <w:t>西安国际港务区生态环境局</w:t>
      </w:r>
      <w:r>
        <w:rPr/>
        <w:t>负责解释。除上述磋商文件内容，其他内容由</w:t>
      </w:r>
      <w:r>
        <w:rPr/>
        <w:t>西北国际（陕西）造价管理集团有限公司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西安国际港务区生态环境局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西北国际（陕西）造价管理集团有限公司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采购包1：项目包干价</w:t>
      </w:r>
    </w:p>
    <w:p>
      <w:pPr>
        <w:pStyle w:val="null3"/>
      </w:pPr>
      <w:r>
        <w:rPr/>
        <w:t>项目包干价。适用于设计施工图纸详尽完善（即工程量固定），投资规模较小、施工工期较短且施工内容相对简单的工程项目。</w:t>
      </w:r>
    </w:p>
    <w:p>
      <w:pPr>
        <w:pStyle w:val="null3"/>
      </w:pPr>
      <w:r>
        <w:rPr/>
        <w:t>参加采购活动的供应商应当全部响应采购人提供的工程量清单，供应商直接给出其完成本项目全部工作内容所需的总价，不再提供已标价工程量清单。</w:t>
      </w:r>
    </w:p>
    <w:p>
      <w:pPr>
        <w:pStyle w:val="null3"/>
      </w:pPr>
      <w:r>
        <w:rPr/>
        <w:t>说明：采购人选择采用此种报价方式的，应当科学测算项目工程量，避免工程量调整造成履约纠纷。</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2.6.7履约验收方案</w:t>
      </w:r>
    </w:p>
    <w:p>
      <w:pPr>
        <w:pStyle w:val="null3"/>
      </w:pPr>
      <w:r>
        <w:rPr/>
        <w:t>采购包1：</w:t>
      </w:r>
    </w:p>
    <w:p>
      <w:pPr>
        <w:pStyle w:val="null3"/>
      </w:pPr>
      <w:r>
        <w:rPr/>
        <w:t>1.供应商针对本项目的施工，必须达到国家及行业现行技术规范标准，符合国家及行业验收合格标准： （一）主材到现场后，由甲方对其进行验收，确认材料的产地、规格、数量。 （二）乙方工程完工后，进行自检，合格后准备验收文件，并书面通知甲方。 （三）甲方确认乙方的自检内容，验收合格作为工程的最终认可。 2.验收依据：出水水质达到《生活饮用水卫生标准》（GB 5749-2022），出水量：300T/d。</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西北国际（陕西）造价管理集团有限公司</w:t>
      </w:r>
      <w:r>
        <w:rPr/>
        <w:t xml:space="preserve"> 负责答复；供应商对采购过程的询问、质疑由</w:t>
      </w:r>
      <w:r>
        <w:rPr/>
        <w:t>西北国际（陕西）造价管理集团有限公司</w:t>
      </w:r>
      <w:r>
        <w:rPr/>
        <w:t xml:space="preserve"> 负责答复；供应商对采购结果的询问、质疑由 </w:t>
      </w:r>
      <w:r>
        <w:rPr/>
        <w:t>西北国际（陕西）造价管理集团有限公司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联系人：张工</w:t>
      </w:r>
    </w:p>
    <w:p>
      <w:pPr>
        <w:pStyle w:val="null3"/>
      </w:pPr>
      <w:r>
        <w:rPr/>
        <w:t>联系电话：13299036777</w:t>
      </w:r>
    </w:p>
    <w:p>
      <w:pPr>
        <w:pStyle w:val="null3"/>
      </w:pPr>
      <w:r>
        <w:rPr/>
        <w:t>地址：陕西省西安市碑林区长安国际中心F座17层</w:t>
      </w:r>
    </w:p>
    <w:p>
      <w:pPr>
        <w:pStyle w:val="null3"/>
      </w:pPr>
      <w:r>
        <w:rPr/>
        <w:t>邮编：710065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3.1技术、服务标准和要求</w:t>
      </w:r>
    </w:p>
    <w:p>
      <w:pPr>
        <w:pStyle w:val="null3"/>
      </w:pPr>
      <w:r>
        <w:rPr/>
        <w:t>采购包1：</w:t>
      </w:r>
    </w:p>
    <w:p>
      <w:pPr>
        <w:pStyle w:val="null3"/>
      </w:pPr>
      <w:r>
        <w:rPr/>
        <w:t>采购包预算金额（元）: 800,000.00</w:t>
      </w:r>
    </w:p>
    <w:p>
      <w:pPr>
        <w:pStyle w:val="null3"/>
      </w:pPr>
      <w:r>
        <w:rPr/>
        <w:t>采购包最高限价（元）: 800,000.00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新合街道兴南村农村饮水工程水质提升</w:t>
            </w:r>
          </w:p>
        </w:tc>
        <w:tc>
          <w:tcPr>
            <w:tcW w:type="dxa" w:w="1384"/>
          </w:tcPr>
          <w:p>
            <w:pPr>
              <w:pStyle w:val="null3"/>
              <w:jc w:val="right"/>
            </w:pPr>
            <w:r>
              <w:rPr/>
              <w:t>1.00</w:t>
            </w:r>
          </w:p>
        </w:tc>
        <w:tc>
          <w:tcPr>
            <w:tcW w:type="dxa" w:w="1384"/>
          </w:tcPr>
          <w:p>
            <w:pPr>
              <w:pStyle w:val="null3"/>
              <w:jc w:val="right"/>
            </w:pPr>
            <w:r>
              <w:rPr/>
              <w:t>800,000.00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标的名称：新合街道兴南村农村饮水工程水质提升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22"/>
              <w:jc w:val="both"/>
            </w:pPr>
            <w:r>
              <w:rPr>
                <w:rFonts w:ascii="verdana" w:hAnsi="verdana" w:cs="verdana" w:eastAsia="verdana"/>
                <w:b/>
                <w:color w:val="000000"/>
                <w:sz w:val="18"/>
              </w:rPr>
              <w:t>一、</w:t>
            </w:r>
            <w:r>
              <w:rPr>
                <w:rFonts w:ascii="verdana" w:hAnsi="verdana" w:cs="verdana" w:eastAsia="verdana"/>
                <w:b/>
                <w:color w:val="000000"/>
                <w:sz w:val="18"/>
              </w:rPr>
              <w:t>工程概况</w:t>
            </w:r>
          </w:p>
          <w:p>
            <w:pPr>
              <w:pStyle w:val="null3"/>
              <w:spacing w:before="75"/>
              <w:ind w:left="120" w:firstLine="420"/>
              <w:jc w:val="both"/>
            </w:pPr>
            <w:r>
              <w:rPr>
                <w:rFonts w:ascii="verdana" w:hAnsi="verdana" w:cs="verdana" w:eastAsia="verdana"/>
                <w:color w:val="000000"/>
                <w:sz w:val="18"/>
              </w:rPr>
              <w:t>为进一步加强农村饮水工程水质净化消毒工作，落实省市《关于加强农村饮水工程水质净化消毒和检测工作的通知》要求，确保新合街道兴南村农村饮水工程水质达标，现需启动新合街道兴南村农村饮水工程水质提升项目的采购工作。</w:t>
            </w:r>
          </w:p>
          <w:p>
            <w:pPr>
              <w:pStyle w:val="null3"/>
              <w:ind w:firstLine="420"/>
              <w:jc w:val="left"/>
            </w:pPr>
            <w:r>
              <w:rPr>
                <w:rFonts w:ascii="verdana" w:hAnsi="verdana" w:cs="verdana" w:eastAsia="verdana"/>
                <w:color w:val="000000"/>
                <w:sz w:val="18"/>
              </w:rPr>
              <w:t>施工地点：采购人指定地点</w:t>
            </w:r>
          </w:p>
          <w:p>
            <w:pPr>
              <w:pStyle w:val="null3"/>
              <w:ind w:firstLine="420"/>
              <w:jc w:val="left"/>
            </w:pPr>
            <w:r>
              <w:rPr>
                <w:rFonts w:ascii="verdana" w:hAnsi="verdana" w:cs="verdana" w:eastAsia="verdana"/>
                <w:color w:val="000000"/>
                <w:sz w:val="18"/>
              </w:rPr>
              <w:t>施工内容：新合街道兴南村农村饮水工程水质提升</w:t>
            </w:r>
          </w:p>
          <w:p>
            <w:pPr>
              <w:pStyle w:val="null3"/>
              <w:ind w:firstLine="420"/>
              <w:jc w:val="left"/>
            </w:pPr>
            <w:r>
              <w:rPr>
                <w:rFonts w:ascii="verdana" w:hAnsi="verdana" w:cs="verdana" w:eastAsia="verdana"/>
                <w:color w:val="000000"/>
                <w:sz w:val="18"/>
              </w:rPr>
              <w:t>施工依据：出水水质达到《生活饮用水卫生标准》（GB 5749-2022），出水量：300T/d。</w:t>
            </w:r>
          </w:p>
          <w:p>
            <w:pPr>
              <w:pStyle w:val="null3"/>
              <w:jc w:val="left"/>
            </w:pPr>
            <w:r>
              <w:rPr>
                <w:rFonts w:ascii="verdana" w:hAnsi="verdana" w:cs="verdana" w:eastAsia="verdana"/>
                <w:color w:val="000000"/>
                <w:sz w:val="18"/>
              </w:rPr>
              <w:t>工期：合同签订之日起20日内完成</w:t>
            </w:r>
          </w:p>
        </w:tc>
      </w:tr>
      <w:tr>
        <w:tc>
          <w:tcPr>
            <w:tcW w:type="dxa" w:w="2769"/>
          </w:tcPr>
          <w:p/>
        </w:tc>
        <w:tc>
          <w:tcPr>
            <w:tcW w:type="dxa" w:w="2769"/>
          </w:tcPr>
          <w:p>
            <w:pPr>
              <w:pStyle w:val="null3"/>
            </w:pPr>
            <w:r>
              <w:rPr/>
              <w:t>2</w:t>
            </w:r>
          </w:p>
        </w:tc>
        <w:tc>
          <w:tcPr>
            <w:tcW w:type="dxa" w:w="2769"/>
          </w:tcPr>
          <w:p>
            <w:pPr>
              <w:pStyle w:val="null3"/>
              <w:ind w:firstLine="422"/>
              <w:jc w:val="both"/>
            </w:pPr>
            <w:r>
              <w:rPr>
                <w:rFonts w:ascii="verdana" w:hAnsi="verdana" w:cs="verdana" w:eastAsia="verdana"/>
                <w:b/>
                <w:color w:val="000000"/>
                <w:sz w:val="18"/>
              </w:rPr>
              <w:t>二、</w:t>
            </w:r>
            <w:r>
              <w:rPr>
                <w:rFonts w:ascii="verdana" w:hAnsi="verdana" w:cs="verdana" w:eastAsia="verdana"/>
                <w:b/>
                <w:color w:val="000000"/>
                <w:sz w:val="18"/>
              </w:rPr>
              <w:t>清单</w:t>
            </w:r>
          </w:p>
          <w:tbl>
            <w:tblPr>
              <w:tblInd w:type="dxa" w:w="135"/>
              <w:tblBorders>
                <w:top w:val="none" w:color="000000" w:sz="4"/>
                <w:left w:val="none" w:color="000000" w:sz="4"/>
                <w:bottom w:val="none" w:color="000000" w:sz="4"/>
                <w:right w:val="none" w:color="000000" w:sz="4"/>
                <w:insideH w:val="none"/>
                <w:insideV w:val="none"/>
              </w:tblBorders>
            </w:tblPr>
            <w:tblGrid>
              <w:gridCol w:w="238"/>
              <w:gridCol w:w="822"/>
              <w:gridCol w:w="286"/>
              <w:gridCol w:w="281"/>
              <w:gridCol w:w="912"/>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b/>
                      <w:color w:val="000000"/>
                      <w:sz w:val="18"/>
                    </w:rPr>
                    <w:t>名称</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b/>
                      <w:color w:val="000000"/>
                      <w:sz w:val="18"/>
                    </w:rPr>
                    <w:t>数量</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b/>
                      <w:color w:val="000000"/>
                      <w:sz w:val="18"/>
                    </w:rPr>
                    <w:t>单位</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b/>
                      <w:color w:val="000000"/>
                      <w:sz w:val="18"/>
                    </w:rPr>
                    <w:t>规格</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一</w:t>
                  </w:r>
                </w:p>
              </w:tc>
              <w:tc>
                <w:tcPr>
                  <w:tcW w:type="dxa" w:w="230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b/>
                      <w:color w:val="000000"/>
                      <w:sz w:val="18"/>
                    </w:rPr>
                    <w:t>反渗透系统</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原水箱</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10T、PE</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原水液位传感器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电子显示</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原水泵1#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Q=32m³/h、H=20-30m</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石英砂过滤器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φ1500*2400、FRP</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3.1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石英砂</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2.6</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吨</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2-12目、级配</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3.2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润新阀</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F95B1、侧装、时间型</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3.3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上下布水器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组</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6寸法兰</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活性炭过滤器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φ1500*2400、FRP</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4.1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活性炭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吨</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椰壳、12-24目</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4.2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润新阀</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F95B1、侧装、时间型</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4.3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上下布水器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组</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6寸法兰</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阻垢系统</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套</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防止反渗透膜结垢</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精密过滤器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25芯40寸、304SS</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6.1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滤芯</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25</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芯</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40寸 、5μm</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反渗透主机</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项</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15T/h</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膜壳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3</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支</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8040--5、FRP</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反渗透膜</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15</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支</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美国杜邦</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高压泵</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Q=32m³/h,  H=150m</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滤前压力传感器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0-0.6 MPa，带就地显示</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滤后压力传感器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0-0.6 MPa带就地显示</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膜前压力传感器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0-2.5 MPa带就地显示</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膜后压力传感器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0-2.5 MPa带就地显示</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进水电动阀</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DN65、220V</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反冲洗电动阀</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DN50、220V</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7.10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纯水涡街流量计</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DN65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7.11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浓水电磁流量计</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DN65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verdana" w:hAnsi="verdana" w:cs="verdana" w:eastAsia="verdana"/>
                      <w:color w:val="000000"/>
                      <w:sz w:val="18"/>
                    </w:rPr>
                    <w:t>7.12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配水电磁流量计</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DN65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7.13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进水调节阀</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不锈钢，DN65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7.14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浓水调节阀</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不锈钢，DN65</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化学清洗系统</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用于清洗反渗透系统</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9</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产水箱</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10T、PE</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9.1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液位传感器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电子显示</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10</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供水泵</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Q=40m³/H，H=40m</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电解法次氯酸钠发生器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50g/h</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反渗透管道</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304SS</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机架</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不锈钢机架，不锈钢面板</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b/>
                      <w:color w:val="000000"/>
                      <w:sz w:val="18"/>
                    </w:rPr>
                    <w:t>二</w:t>
                  </w:r>
                </w:p>
              </w:tc>
              <w:tc>
                <w:tcPr>
                  <w:tcW w:type="dxa" w:w="230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b/>
                      <w:color w:val="000000"/>
                      <w:sz w:val="18"/>
                    </w:rPr>
                    <w:t>过滤净化系统</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原水泵2#</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Q=20m³/h、H=20-30m</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石英砂过滤器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φ1500*2400、FRP</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石英砂</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2.6</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吨</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2-12目、级配</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润新阀</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F95B1、侧装、时间型</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上下布水器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组</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6寸法兰</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活性炭过滤器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φ1500*2400、FRP</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3.1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活性炭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吨</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椰壳炭、12-24目</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3.2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润新阀</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F95B1、侧装、时间型</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3.3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上下布水器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组</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6寸法兰</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袋式过滤器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verdana" w:hAnsi="verdana" w:cs="verdana" w:eastAsia="verdana"/>
                      <w:color w:val="000000"/>
                      <w:sz w:val="18"/>
                    </w:rPr>
                    <w:t>不锈钢壳体</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配水流量计</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0-25T/h</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b/>
                      <w:color w:val="000000"/>
                      <w:sz w:val="18"/>
                    </w:rPr>
                    <w:t>三</w:t>
                  </w:r>
                </w:p>
              </w:tc>
              <w:tc>
                <w:tcPr>
                  <w:tcW w:type="dxa" w:w="230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b/>
                      <w:color w:val="000000"/>
                      <w:sz w:val="18"/>
                    </w:rPr>
                    <w:t>电气控制系统</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控制柜</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不锈钢集成</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人机界面</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10寸</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PLC</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项</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西门子</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软件编程</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项</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厂家配套</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变频器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项</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高压泵配套ABB</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电线电缆</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项</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厂家配套</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桥架线管</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项</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厂家配套</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b/>
                      <w:color w:val="000000"/>
                      <w:sz w:val="18"/>
                    </w:rPr>
                    <w:t>四</w:t>
                  </w:r>
                </w:p>
              </w:tc>
              <w:tc>
                <w:tcPr>
                  <w:tcW w:type="dxa" w:w="230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b/>
                      <w:color w:val="000000"/>
                      <w:sz w:val="18"/>
                    </w:rPr>
                    <w:t>其他</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管道阀门</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项</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UPVC</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地面处理</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项</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厂内全部地面铺设</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与原有水塔上水系统配套</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项</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和原水塔上水泵链接</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安装调试</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项</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verdana" w:hAnsi="verdana" w:cs="verdana" w:eastAsia="verdana"/>
                      <w:color w:val="000000"/>
                      <w:sz w:val="18"/>
                    </w:rPr>
                    <w:t>所供应设备安装调试</w:t>
                  </w:r>
                </w:p>
              </w:tc>
            </w:tr>
          </w:tbl>
          <w:p/>
        </w:tc>
      </w:tr>
      <w:tr>
        <w:tc>
          <w:tcPr>
            <w:tcW w:type="dxa" w:w="2769"/>
          </w:tcPr>
          <w:p/>
        </w:tc>
        <w:tc>
          <w:tcPr>
            <w:tcW w:type="dxa" w:w="2769"/>
          </w:tcPr>
          <w:p>
            <w:pPr>
              <w:pStyle w:val="null3"/>
            </w:pPr>
            <w:r>
              <w:rPr/>
              <w:t>3</w:t>
            </w:r>
          </w:p>
        </w:tc>
        <w:tc>
          <w:tcPr>
            <w:tcW w:type="dxa" w:w="2769"/>
          </w:tcPr>
          <w:p>
            <w:pPr>
              <w:pStyle w:val="null3"/>
              <w:jc w:val="both"/>
            </w:pPr>
            <w:r>
              <w:rPr>
                <w:rFonts w:ascii="verdana" w:hAnsi="verdana" w:cs="verdana" w:eastAsia="verdana"/>
                <w:b/>
                <w:color w:val="000000"/>
                <w:sz w:val="18"/>
              </w:rPr>
              <w:t>三、技术要求</w:t>
            </w:r>
          </w:p>
          <w:p>
            <w:pPr>
              <w:pStyle w:val="null3"/>
              <w:ind w:firstLine="420"/>
              <w:jc w:val="both"/>
            </w:pPr>
            <w:r>
              <w:rPr>
                <w:rFonts w:ascii="verdana" w:hAnsi="verdana" w:cs="verdana" w:eastAsia="verdana"/>
                <w:color w:val="000000"/>
                <w:sz w:val="18"/>
              </w:rPr>
              <w:t>1、通过安装反渗透处理设备净化兴南村农村饮水工程水质，确保满足约2100名群众日常用水需求，水质达到《生活饮用水卫生标准》（GB5749-2022）。</w:t>
            </w:r>
          </w:p>
          <w:p>
            <w:pPr>
              <w:pStyle w:val="null3"/>
              <w:ind w:firstLine="420"/>
              <w:jc w:val="both"/>
            </w:pPr>
            <w:r>
              <w:rPr>
                <w:rFonts w:ascii="verdana" w:hAnsi="verdana" w:cs="verdana" w:eastAsia="verdana"/>
                <w:color w:val="000000"/>
                <w:sz w:val="18"/>
              </w:rPr>
              <w:t>2、6名专业安装人员进行安装调试，2名专业人员对现场水管员进行培训，2个专业队伍进行售后维修。</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符合国家现行有关施工质量验收规范“合格”要求。</w:t>
      </w:r>
    </w:p>
    <w:p>
      <w:pPr>
        <w:pStyle w:val="null3"/>
        <w:ind w:firstLine="480"/>
      </w:pPr>
      <w:r>
        <w:rPr/>
        <w:t>三、针对本项目的其他技术服务要求：</w:t>
      </w:r>
    </w:p>
    <w:p>
      <w:pPr>
        <w:pStyle w:val="null3"/>
      </w:pPr>
      <w:r>
        <w:rPr/>
        <w:t>无</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b/>
          <w:sz w:val="28"/>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b/>
          <w:sz w:val="24"/>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b/>
          <w:sz w:val="28"/>
        </w:rPr>
        <w:t>3.3其他要求</w:t>
      </w:r>
    </w:p>
    <w:p>
      <w:pPr>
        <w:pStyle w:val="null3"/>
      </w:pPr>
      <w:r>
        <w:rPr/>
        <w:t>参加本次磋商活动的供应商需在磋商活动结束后递交与电子化响应文件内容一致的纸质版响应文件三份，送至西安市碑林区长安国际中心F座1702室。联系人：张工；电话：13299036777。</w:t>
      </w:r>
    </w:p>
    <w:p>
      <w:pPr>
        <w:pStyle w:val="null3"/>
      </w:pPr>
      <w:r>
        <w:rPr/>
        <w:t xml:space="preserve"> </w:t>
        <w:br/>
        <w:br w:type="page"/>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供应商需在项目电子化交易系统中按要求填写《响应函》完成承诺，同时提供以下资料并进行电子签章： a.营业执照、组织机构代码证、税务登记证(三证合一的提供统一社会信用代码的营业执照)其他组织经营的合法凭证，自然人的提供身份证明文件； b.财务状况证明：提供2022年度或2023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或财政部门认可的政府采购专业担保机构出具的担保函(附开户许可证或开户备案证明或基本账户信息)，以上形式的证明资料提供任何一种即可。 c.提供具有履行合同所必需的设备和专业技术能力的承诺；(格式自拟) d.税收缴纳证明：提供投标截止日前一年内已缴纳的至少一个月的纳税证明或完税证明，依法免税的单位应提供相关证明材料； e .社会保障资金缴纳证明：提供投标截止日前一年内已缴存的至少一个月的社会保障资金缴存单据或社保机构开具的社会保险参保缴费情况证明，依法不需要缴纳社会保障资金的单位应提供相关证明材料； f.参加政府采购活动前3年内，在经营活动中没有重大违法记录的书面声明。</w:t>
            </w:r>
          </w:p>
        </w:tc>
        <w:tc>
          <w:tcPr>
            <w:tcW w:type="dxa" w:w="1661"/>
          </w:tcPr>
          <w:p>
            <w:pPr>
              <w:pStyle w:val="null3"/>
            </w:pPr>
            <w:r>
              <w:rPr/>
              <w:t>资格标 商务标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供应商需在项目电子化交易系统中按要求上传相应证明文件并进行电子签章。（财务状况证明）</w:t>
            </w:r>
          </w:p>
        </w:tc>
        <w:tc>
          <w:tcPr>
            <w:tcW w:type="dxa" w:w="1661"/>
          </w:tcPr>
          <w:p>
            <w:pPr>
              <w:pStyle w:val="null3"/>
            </w:pPr>
            <w:r>
              <w:rPr/>
              <w:t>资格标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法定代表人授权书</w:t>
            </w:r>
          </w:p>
        </w:tc>
        <w:tc>
          <w:tcPr>
            <w:tcW w:type="dxa" w:w="3322"/>
          </w:tcPr>
          <w:p>
            <w:pPr>
              <w:pStyle w:val="null3"/>
            </w:pPr>
            <w:r>
              <w:rPr/>
              <w:t>法定代表人授权书或法定代表人身份证明：法定代表人授权书（附法定代表人、被授权人身份证复印件）；法定代表人直接参加投标，须提供法定代表人身份证明</w:t>
            </w:r>
          </w:p>
        </w:tc>
        <w:tc>
          <w:tcPr>
            <w:tcW w:type="dxa" w:w="1661"/>
          </w:tcPr>
          <w:p>
            <w:pPr>
              <w:pStyle w:val="null3"/>
            </w:pPr>
            <w:r>
              <w:rPr/>
              <w:t>资格标 商务标</w:t>
            </w:r>
          </w:p>
        </w:tc>
      </w:tr>
      <w:tr>
        <w:tc>
          <w:tcPr>
            <w:tcW w:type="dxa" w:w="831"/>
          </w:tcPr>
          <w:p>
            <w:pPr>
              <w:pStyle w:val="null3"/>
            </w:pPr>
            <w:r>
              <w:rPr/>
              <w:t>2</w:t>
            </w:r>
          </w:p>
        </w:tc>
        <w:tc>
          <w:tcPr>
            <w:tcW w:type="dxa" w:w="2492"/>
          </w:tcPr>
          <w:p>
            <w:pPr>
              <w:pStyle w:val="null3"/>
            </w:pPr>
            <w:r>
              <w:rPr/>
              <w:t>资质要求</w:t>
            </w:r>
          </w:p>
        </w:tc>
        <w:tc>
          <w:tcPr>
            <w:tcW w:type="dxa" w:w="3322"/>
          </w:tcPr>
          <w:p>
            <w:pPr>
              <w:pStyle w:val="null3"/>
            </w:pPr>
            <w:r>
              <w:rPr/>
              <w:t>供应商具备建设行政主管部门颁发的市政公用工程总承包三级及以上或机电工程施工总承包三级及以上资质，同时具有合格有效的安全生产许可证；资质信息在“陕西建设网（http://js.shaanxi.gov.cn/）”可查询</w:t>
            </w:r>
          </w:p>
        </w:tc>
        <w:tc>
          <w:tcPr>
            <w:tcW w:type="dxa" w:w="1661"/>
          </w:tcPr>
          <w:p>
            <w:pPr>
              <w:pStyle w:val="null3"/>
            </w:pPr>
            <w:r>
              <w:rPr/>
              <w:t>资格标</w:t>
            </w:r>
          </w:p>
        </w:tc>
      </w:tr>
      <w:tr>
        <w:tc>
          <w:tcPr>
            <w:tcW w:type="dxa" w:w="831"/>
          </w:tcPr>
          <w:p>
            <w:pPr>
              <w:pStyle w:val="null3"/>
            </w:pPr>
            <w:r>
              <w:rPr/>
              <w:t>3</w:t>
            </w:r>
          </w:p>
        </w:tc>
        <w:tc>
          <w:tcPr>
            <w:tcW w:type="dxa" w:w="2492"/>
          </w:tcPr>
          <w:p>
            <w:pPr>
              <w:pStyle w:val="null3"/>
            </w:pPr>
            <w:r>
              <w:rPr/>
              <w:t>项目经理</w:t>
            </w:r>
          </w:p>
        </w:tc>
        <w:tc>
          <w:tcPr>
            <w:tcW w:type="dxa" w:w="3322"/>
          </w:tcPr>
          <w:p>
            <w:pPr>
              <w:pStyle w:val="null3"/>
            </w:pPr>
            <w:r>
              <w:rPr/>
              <w:t>拟派项目经理须具有市政公用工程专业或机电工程专业二级及以上注册建造师证书和有效的安全生产考核证书（B证），在本单位注册，且无在建工程、无不良记录（提供无在建工程、无不良记录承诺书）；项目经理资质信息在“陕西建设网（http://js.shaanxi.gov.cn/）”可查询</w:t>
            </w:r>
          </w:p>
        </w:tc>
        <w:tc>
          <w:tcPr>
            <w:tcW w:type="dxa" w:w="1661"/>
          </w:tcPr>
          <w:p>
            <w:pPr>
              <w:pStyle w:val="null3"/>
            </w:pPr>
            <w:r>
              <w:rPr/>
              <w:t>资格标 项目管理机构组成表 主要人员简历表</w:t>
            </w:r>
          </w:p>
        </w:tc>
      </w:tr>
      <w:tr>
        <w:tc>
          <w:tcPr>
            <w:tcW w:type="dxa" w:w="831"/>
          </w:tcPr>
          <w:p>
            <w:pPr>
              <w:pStyle w:val="null3"/>
            </w:pPr>
            <w:r>
              <w:rPr/>
              <w:t>4</w:t>
            </w:r>
          </w:p>
        </w:tc>
        <w:tc>
          <w:tcPr>
            <w:tcW w:type="dxa" w:w="2492"/>
          </w:tcPr>
          <w:p>
            <w:pPr>
              <w:pStyle w:val="null3"/>
            </w:pPr>
            <w:r>
              <w:rPr/>
              <w:t>信用信息</w:t>
            </w:r>
          </w:p>
        </w:tc>
        <w:tc>
          <w:tcPr>
            <w:tcW w:type="dxa" w:w="3322"/>
          </w:tcPr>
          <w:p>
            <w:pPr>
              <w:pStyle w:val="null3"/>
            </w:pPr>
            <w:r>
              <w:rPr/>
              <w:t>信用截图：供应商未被“信用中国” 网站（www.creditchina.gov.cn）列入失信被执行人和重大税收违法失信主体，未被中国政府采购网（www.ccgp.gov.cn）列入政府采购严重违法失信行为记录名单</w:t>
            </w:r>
          </w:p>
        </w:tc>
        <w:tc>
          <w:tcPr>
            <w:tcW w:type="dxa" w:w="1661"/>
          </w:tcPr>
          <w:p>
            <w:pPr>
              <w:pStyle w:val="null3"/>
            </w:pPr>
            <w:r>
              <w:rPr/>
              <w:t>资格标</w:t>
            </w:r>
          </w:p>
        </w:tc>
      </w:tr>
      <w:tr>
        <w:tc>
          <w:tcPr>
            <w:tcW w:type="dxa" w:w="831"/>
          </w:tcPr>
          <w:p>
            <w:pPr>
              <w:pStyle w:val="null3"/>
            </w:pPr>
            <w:r>
              <w:rPr/>
              <w:t>5</w:t>
            </w:r>
          </w:p>
        </w:tc>
        <w:tc>
          <w:tcPr>
            <w:tcW w:type="dxa" w:w="2492"/>
          </w:tcPr>
          <w:p>
            <w:pPr>
              <w:pStyle w:val="null3"/>
            </w:pPr>
            <w:r>
              <w:rPr/>
              <w:t>非联合体声明</w:t>
            </w:r>
          </w:p>
        </w:tc>
        <w:tc>
          <w:tcPr>
            <w:tcW w:type="dxa" w:w="3322"/>
          </w:tcPr>
          <w:p>
            <w:pPr>
              <w:pStyle w:val="null3"/>
            </w:pPr>
            <w:r>
              <w:rPr/>
              <w:t>供应商应须在资格条件中附非联合体声明书</w:t>
            </w:r>
          </w:p>
        </w:tc>
        <w:tc>
          <w:tcPr>
            <w:tcW w:type="dxa" w:w="1661"/>
          </w:tcPr>
          <w:p>
            <w:pPr>
              <w:pStyle w:val="null3"/>
            </w:pPr>
            <w:r>
              <w:rPr/>
              <w:t>资格标</w:t>
            </w:r>
          </w:p>
        </w:tc>
      </w:tr>
    </w:tbl>
    <w:p>
      <w:pPr>
        <w:pStyle w:val="null3"/>
      </w:pPr>
      <w:r>
        <w:rPr/>
        <w:t xml:space="preserve"> </w:t>
        <w:br/>
        <w:br w:type="page"/>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评标委员会发现供应商的报价明显低于其他投标报价，使得其投标报价可能低于其个别成本的，应当要求该供应商作出书面说明并提供相应的证明材料。供应商不能合理说明或者不能提供相应证明材料的，评标委员会应当认定该供应商以低于成本报价竞标，并否决其投标。 2.供应商通过项目电子化交易系统在磋商小组要求的合理时间内提交说明，否则无效。</w:t>
            </w:r>
          </w:p>
        </w:tc>
        <w:tc>
          <w:tcPr>
            <w:tcW w:type="dxa" w:w="1661"/>
          </w:tcPr>
          <w:p>
            <w:pPr>
              <w:pStyle w:val="null3"/>
            </w:pPr>
            <w:r>
              <w:rPr/>
              <w:t>商务标 报价函 标的清单</w:t>
            </w:r>
          </w:p>
        </w:tc>
      </w:tr>
      <w:tr>
        <w:tc>
          <w:tcPr>
            <w:tcW w:type="dxa" w:w="831"/>
          </w:tcPr>
          <w:p>
            <w:pPr>
              <w:pStyle w:val="null3"/>
            </w:pPr>
            <w:r>
              <w:rPr/>
              <w:t>2</w:t>
            </w:r>
          </w:p>
        </w:tc>
        <w:tc>
          <w:tcPr>
            <w:tcW w:type="dxa" w:w="2492"/>
          </w:tcPr>
          <w:p>
            <w:pPr>
              <w:pStyle w:val="null3"/>
            </w:pPr>
            <w:r>
              <w:rPr/>
              <w:t>供应商名称</w:t>
            </w:r>
          </w:p>
        </w:tc>
        <w:tc>
          <w:tcPr>
            <w:tcW w:type="dxa" w:w="3322"/>
          </w:tcPr>
          <w:p>
            <w:pPr>
              <w:pStyle w:val="null3"/>
            </w:pPr>
            <w:r>
              <w:rPr/>
              <w:t>与营业执照、资质证书一致</w:t>
            </w:r>
          </w:p>
        </w:tc>
        <w:tc>
          <w:tcPr>
            <w:tcW w:type="dxa" w:w="1661"/>
          </w:tcPr>
          <w:p>
            <w:pPr>
              <w:pStyle w:val="null3"/>
            </w:pPr>
            <w:r>
              <w:rPr/>
              <w:t>响应文件封面 资格标</w:t>
            </w:r>
          </w:p>
        </w:tc>
      </w:tr>
      <w:tr>
        <w:tc>
          <w:tcPr>
            <w:tcW w:type="dxa" w:w="831"/>
          </w:tcPr>
          <w:p>
            <w:pPr>
              <w:pStyle w:val="null3"/>
            </w:pPr>
            <w:r>
              <w:rPr/>
              <w:t>3</w:t>
            </w:r>
          </w:p>
        </w:tc>
        <w:tc>
          <w:tcPr>
            <w:tcW w:type="dxa" w:w="2492"/>
          </w:tcPr>
          <w:p>
            <w:pPr>
              <w:pStyle w:val="null3"/>
            </w:pPr>
            <w:r>
              <w:rPr/>
              <w:t>磋商响应文件的签署盖章</w:t>
            </w:r>
          </w:p>
        </w:tc>
        <w:tc>
          <w:tcPr>
            <w:tcW w:type="dxa" w:w="3322"/>
          </w:tcPr>
          <w:p>
            <w:pPr>
              <w:pStyle w:val="null3"/>
            </w:pPr>
            <w:r>
              <w:rPr/>
              <w:t>法定代表人或被授权人的签字齐全并加盖公章</w:t>
            </w:r>
          </w:p>
        </w:tc>
        <w:tc>
          <w:tcPr>
            <w:tcW w:type="dxa" w:w="1661"/>
          </w:tcPr>
          <w:p>
            <w:pPr>
              <w:pStyle w:val="null3"/>
            </w:pPr>
            <w:r>
              <w:rPr/>
              <w:t>资格标 商务标</w:t>
            </w:r>
          </w:p>
        </w:tc>
      </w:tr>
      <w:tr>
        <w:tc>
          <w:tcPr>
            <w:tcW w:type="dxa" w:w="831"/>
          </w:tcPr>
          <w:p>
            <w:pPr>
              <w:pStyle w:val="null3"/>
            </w:pPr>
            <w:r>
              <w:rPr/>
              <w:t>4</w:t>
            </w:r>
          </w:p>
        </w:tc>
        <w:tc>
          <w:tcPr>
            <w:tcW w:type="dxa" w:w="2492"/>
          </w:tcPr>
          <w:p>
            <w:pPr>
              <w:pStyle w:val="null3"/>
            </w:pPr>
            <w:r>
              <w:rPr/>
              <w:t>磋商响应文件格式</w:t>
            </w:r>
          </w:p>
        </w:tc>
        <w:tc>
          <w:tcPr>
            <w:tcW w:type="dxa" w:w="3322"/>
          </w:tcPr>
          <w:p>
            <w:pPr>
              <w:pStyle w:val="null3"/>
            </w:pPr>
            <w:r>
              <w:rPr/>
              <w:t>符合“磋商响应文件格式”的规定</w:t>
            </w:r>
          </w:p>
        </w:tc>
        <w:tc>
          <w:tcPr>
            <w:tcW w:type="dxa" w:w="1661"/>
          </w:tcPr>
          <w:p>
            <w:pPr>
              <w:pStyle w:val="null3"/>
            </w:pPr>
            <w:r>
              <w:rPr/>
              <w:t>资格标 商务标 技术标</w:t>
            </w:r>
          </w:p>
        </w:tc>
      </w:tr>
      <w:tr>
        <w:tc>
          <w:tcPr>
            <w:tcW w:type="dxa" w:w="831"/>
          </w:tcPr>
          <w:p>
            <w:pPr>
              <w:pStyle w:val="null3"/>
            </w:pPr>
            <w:r>
              <w:rPr/>
              <w:t>5</w:t>
            </w:r>
          </w:p>
        </w:tc>
        <w:tc>
          <w:tcPr>
            <w:tcW w:type="dxa" w:w="2492"/>
          </w:tcPr>
          <w:p>
            <w:pPr>
              <w:pStyle w:val="null3"/>
            </w:pPr>
            <w:r>
              <w:rPr/>
              <w:t>报价</w:t>
            </w:r>
          </w:p>
        </w:tc>
        <w:tc>
          <w:tcPr>
            <w:tcW w:type="dxa" w:w="3322"/>
          </w:tcPr>
          <w:p>
            <w:pPr>
              <w:pStyle w:val="null3"/>
            </w:pPr>
            <w:r>
              <w:rPr/>
              <w:t>只能有一个有效报价，不得提交选择性报价，且报价不超过最高限价。</w:t>
            </w:r>
          </w:p>
        </w:tc>
        <w:tc>
          <w:tcPr>
            <w:tcW w:type="dxa" w:w="1661"/>
          </w:tcPr>
          <w:p>
            <w:pPr>
              <w:pStyle w:val="null3"/>
            </w:pPr>
            <w:r>
              <w:rPr/>
              <w:t>商务标 报价函 标的清单</w:t>
            </w:r>
          </w:p>
        </w:tc>
      </w:tr>
      <w:tr>
        <w:tc>
          <w:tcPr>
            <w:tcW w:type="dxa" w:w="831"/>
          </w:tcPr>
          <w:p>
            <w:pPr>
              <w:pStyle w:val="null3"/>
            </w:pPr>
            <w:r>
              <w:rPr/>
              <w:t>6</w:t>
            </w:r>
          </w:p>
        </w:tc>
        <w:tc>
          <w:tcPr>
            <w:tcW w:type="dxa" w:w="2492"/>
          </w:tcPr>
          <w:p>
            <w:pPr>
              <w:pStyle w:val="null3"/>
            </w:pPr>
            <w:r>
              <w:rPr/>
              <w:t>对竞争性磋商文件响应程度</w:t>
            </w:r>
          </w:p>
        </w:tc>
        <w:tc>
          <w:tcPr>
            <w:tcW w:type="dxa" w:w="3322"/>
          </w:tcPr>
          <w:p>
            <w:pPr>
              <w:pStyle w:val="null3"/>
            </w:pPr>
            <w:r>
              <w:rPr/>
              <w:t>要求实质性条款全部响应，不能有采购人不能接受的附加条件</w:t>
            </w:r>
          </w:p>
        </w:tc>
        <w:tc>
          <w:tcPr>
            <w:tcW w:type="dxa" w:w="1661"/>
          </w:tcPr>
          <w:p>
            <w:pPr>
              <w:pStyle w:val="null3"/>
            </w:pPr>
            <w:r>
              <w:rPr/>
              <w:t>资格标 商务标 技术标 响应函</w:t>
            </w:r>
          </w:p>
        </w:tc>
      </w:tr>
      <w:tr>
        <w:tc>
          <w:tcPr>
            <w:tcW w:type="dxa" w:w="831"/>
          </w:tcPr>
          <w:p>
            <w:pPr>
              <w:pStyle w:val="null3"/>
            </w:pPr>
            <w:r>
              <w:rPr/>
              <w:t>7</w:t>
            </w:r>
          </w:p>
        </w:tc>
        <w:tc>
          <w:tcPr>
            <w:tcW w:type="dxa" w:w="2492"/>
          </w:tcPr>
          <w:p>
            <w:pPr>
              <w:pStyle w:val="null3"/>
            </w:pPr>
            <w:r>
              <w:rPr/>
              <w:t>工期</w:t>
            </w:r>
          </w:p>
        </w:tc>
        <w:tc>
          <w:tcPr>
            <w:tcW w:type="dxa" w:w="3322"/>
          </w:tcPr>
          <w:p>
            <w:pPr>
              <w:pStyle w:val="null3"/>
            </w:pPr>
            <w:r>
              <w:rPr/>
              <w:t>符合磋商文件要求</w:t>
            </w:r>
          </w:p>
        </w:tc>
        <w:tc>
          <w:tcPr>
            <w:tcW w:type="dxa" w:w="1661"/>
          </w:tcPr>
          <w:p>
            <w:pPr>
              <w:pStyle w:val="null3"/>
            </w:pPr>
            <w:r>
              <w:rPr/>
              <w:t>商务标 报价函</w:t>
            </w:r>
          </w:p>
        </w:tc>
      </w:tr>
      <w:tr>
        <w:tc>
          <w:tcPr>
            <w:tcW w:type="dxa" w:w="831"/>
          </w:tcPr>
          <w:p>
            <w:pPr>
              <w:pStyle w:val="null3"/>
            </w:pPr>
            <w:r>
              <w:rPr/>
              <w:t>8</w:t>
            </w:r>
          </w:p>
        </w:tc>
        <w:tc>
          <w:tcPr>
            <w:tcW w:type="dxa" w:w="2492"/>
          </w:tcPr>
          <w:p>
            <w:pPr>
              <w:pStyle w:val="null3"/>
            </w:pPr>
            <w:r>
              <w:rPr/>
              <w:t>磋商有效期</w:t>
            </w:r>
          </w:p>
        </w:tc>
        <w:tc>
          <w:tcPr>
            <w:tcW w:type="dxa" w:w="3322"/>
          </w:tcPr>
          <w:p>
            <w:pPr>
              <w:pStyle w:val="null3"/>
            </w:pPr>
            <w:r>
              <w:rPr/>
              <w:t>符合磋商文件要求</w:t>
            </w:r>
          </w:p>
        </w:tc>
        <w:tc>
          <w:tcPr>
            <w:tcW w:type="dxa" w:w="1661"/>
          </w:tcPr>
          <w:p>
            <w:pPr>
              <w:pStyle w:val="null3"/>
            </w:pPr>
            <w:r>
              <w:rPr/>
              <w:t>响应函</w:t>
            </w:r>
          </w:p>
        </w:tc>
      </w:tr>
    </w:tbl>
    <w:p>
      <w:pPr>
        <w:pStyle w:val="null3"/>
        <w:outlineLvl w:val="3"/>
      </w:pPr>
      <w:r>
        <w:rPr>
          <w:b/>
          <w:sz w:val="24"/>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b/>
          <w:sz w:val="24"/>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b/>
          <w:sz w:val="24"/>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b/>
          <w:sz w:val="24"/>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b/>
          <w:sz w:val="24"/>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详细评审60.00分</w:t>
            </w:r>
          </w:p>
          <w:p>
            <w:pPr>
              <w:pStyle w:val="null3"/>
            </w:pPr>
            <w:r>
              <w:rPr/>
              <w:t>报价得分40.00分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施工方案</w:t>
            </w:r>
          </w:p>
        </w:tc>
        <w:tc>
          <w:tcPr>
            <w:tcW w:type="dxa" w:w="2492"/>
          </w:tcPr>
          <w:p>
            <w:pPr>
              <w:pStyle w:val="null3"/>
            </w:pPr>
            <w:r>
              <w:rPr/>
              <w:t>A.方案详细完善、合理可行、针对性强，得8分； B.方案较详细，基本合理可行、有针对性，得6分； C.方案较详细、基本合理可行，针对性欠缺，得4分； D.方案简单，可行性及针对性欠缺，得2分； E.其他或未提供得0分。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安全作业管理</w:t>
            </w:r>
          </w:p>
        </w:tc>
        <w:tc>
          <w:tcPr>
            <w:tcW w:type="dxa" w:w="2492"/>
          </w:tcPr>
          <w:p>
            <w:pPr>
              <w:pStyle w:val="null3"/>
            </w:pPr>
            <w:r>
              <w:rPr/>
              <w:t>针对本项目提供具体的安全作业方案及安全配套措施进行综合评审。 A.安全作业方案及安全配套措施完善、合理可行、针对性强，，得6分； B.安全作业方案及安全配套措施基本合理可行，针对性欠缺，得4分； C.安全作业方案及安全配套措施简单，可行性及针对性欠缺，得2分。 D.其他或未提供得0分。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文明施工措施计划</w:t>
            </w:r>
          </w:p>
        </w:tc>
        <w:tc>
          <w:tcPr>
            <w:tcW w:type="dxa" w:w="2492"/>
          </w:tcPr>
          <w:p>
            <w:pPr>
              <w:pStyle w:val="null3"/>
            </w:pPr>
            <w:r>
              <w:rPr/>
              <w:t>针对本项目提供的文明施工措施计划进行综合评审。 A.措施计划详细完善、合理可行、针对性强，得6分； B.措施计划较详细、基本合理可行，针对性欠缺，得4分； C.措施计划简单，可行性及针对性欠缺，得2分； D.其他或未提供得0分。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技术组织措施</w:t>
            </w:r>
          </w:p>
        </w:tc>
        <w:tc>
          <w:tcPr>
            <w:tcW w:type="dxa" w:w="2492"/>
          </w:tcPr>
          <w:p>
            <w:pPr>
              <w:pStyle w:val="null3"/>
            </w:pPr>
            <w:r>
              <w:rPr/>
              <w:t>根据供应商制定的确保工程质量及工期的技术组织措施进行综合评审。 A.措施详细完善、合理可行、针对性强，得6分； B.措施较详细、基本合理可行，针对性欠缺，得4分； C.措施简单，可行性及针对性欠缺，得2分； D.其他或未提供得0分。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人员配备</w:t>
            </w:r>
          </w:p>
        </w:tc>
        <w:tc>
          <w:tcPr>
            <w:tcW w:type="dxa" w:w="2492"/>
          </w:tcPr>
          <w:p>
            <w:pPr>
              <w:pStyle w:val="null3"/>
            </w:pPr>
            <w:r>
              <w:rPr/>
              <w:t>针对本项目的项目组织管理机构配备。 A.人员组织架构完整，岗位设置合理、明确，技术人员专业性、经验性强，得6分； B.人员组织架构有待优化，岗位设置基本合理，技术人员专业性、经验性欠缺，得4分； C.人员组织架构不完整，岗位设置紧张，技术人员专业性、经验性欠缺，得2分； D.其他或未提供得0分。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项目管理机构组成表</w:t>
            </w:r>
          </w:p>
          <w:p>
            <w:pPr>
              <w:pStyle w:val="null3"/>
            </w:pPr>
            <w:r>
              <w:rPr/>
              <w:t>主要人员简历表</w:t>
            </w:r>
          </w:p>
          <w:p>
            <w:pPr>
              <w:pStyle w:val="null3"/>
            </w:pPr>
            <w:r>
              <w:rPr/>
              <w:t>技术标</w:t>
            </w:r>
          </w:p>
        </w:tc>
      </w:tr>
      <w:tr>
        <w:tc>
          <w:tcPr>
            <w:tcW w:type="dxa" w:w="831"/>
            <w:vMerge/>
          </w:tcPr>
          <w:p/>
        </w:tc>
        <w:tc>
          <w:tcPr>
            <w:tcW w:type="dxa" w:w="1661"/>
          </w:tcPr>
          <w:p>
            <w:pPr>
              <w:pStyle w:val="null3"/>
            </w:pPr>
            <w:r>
              <w:rPr/>
              <w:t>设备和材料投入计划</w:t>
            </w:r>
          </w:p>
        </w:tc>
        <w:tc>
          <w:tcPr>
            <w:tcW w:type="dxa" w:w="2492"/>
          </w:tcPr>
          <w:p>
            <w:pPr>
              <w:pStyle w:val="null3"/>
            </w:pPr>
            <w:r>
              <w:rPr/>
              <w:t>根据供应商投入的设备和材料投入计划等进行评审。 A.设备投入合理并提供来源证明材料，得6分； B.设备投入和材料投入计划基本合理、可行，得4分； C.设备和材料投入计划有欠缺，得2分； D.其他或未提供得0分。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服务承诺及保障措施</w:t>
            </w:r>
          </w:p>
        </w:tc>
        <w:tc>
          <w:tcPr>
            <w:tcW w:type="dxa" w:w="2492"/>
          </w:tcPr>
          <w:p>
            <w:pPr>
              <w:pStyle w:val="null3"/>
            </w:pPr>
            <w:r>
              <w:rPr/>
              <w:t>针对本项目全部工程内容提供具体的质量保修承诺及保障措施、工期承诺及保障措施、安全承诺及保障措施、后续服务方案。 A.承诺内容完善、针对性强，保障措施合理性、可行性强，得6分； B.承诺内容较完善、有一定针对性，保障措施合理性、可行性较强，得4分； C.承诺内容简单笼统，保障措施可行性欠缺，得2分。 D.其他或未提供得0分。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应急处理方案</w:t>
            </w:r>
          </w:p>
        </w:tc>
        <w:tc>
          <w:tcPr>
            <w:tcW w:type="dxa" w:w="2492"/>
          </w:tcPr>
          <w:p>
            <w:pPr>
              <w:pStyle w:val="null3"/>
            </w:pPr>
            <w:r>
              <w:rPr/>
              <w:t>针对本项目的临时性、阶段性工作及突发事件的应急处理方案。 A.应急处理方案全面、合理、规范、可实施性强，得6分； B.应急处理方案合理，具有一定实施性，得4分； C.应急处理方案基本合理，可实施性欠缺，得2分； D.其他或未提供得0分。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技术标</w:t>
            </w:r>
          </w:p>
        </w:tc>
      </w:tr>
      <w:tr>
        <w:tc>
          <w:tcPr>
            <w:tcW w:type="dxa" w:w="831"/>
            <w:vMerge/>
          </w:tcPr>
          <w:p/>
        </w:tc>
        <w:tc>
          <w:tcPr>
            <w:tcW w:type="dxa" w:w="1661"/>
          </w:tcPr>
          <w:p>
            <w:pPr>
              <w:pStyle w:val="null3"/>
            </w:pPr>
            <w:r>
              <w:rPr/>
              <w:t>业绩</w:t>
            </w:r>
          </w:p>
        </w:tc>
        <w:tc>
          <w:tcPr>
            <w:tcW w:type="dxa" w:w="2492"/>
          </w:tcPr>
          <w:p>
            <w:pPr>
              <w:pStyle w:val="null3"/>
            </w:pPr>
            <w:r>
              <w:rPr/>
              <w:t>供应商2021年4月至截标时间前类似项目业绩；每提供1份计2分，最高得10分。业绩证明（时间以合同签订时间为准，须在响应文件中附合同协议书扫描件并加盖单位公章，证明材料不符合要求或未提供的均不得分）弄虚作假者，取消其成交资格。</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技术标</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1、经初审合格的磋商文件，其最终报价为有效报价。 2、有效最低报价为基准价得40分。 3、按（磋商基准价/有效最终磋商报价）×40的公式计算报价得分。 4、报价不完整的，不进入磋商基准价的计算，本项得0分。</w:t>
            </w:r>
          </w:p>
        </w:tc>
        <w:tc>
          <w:tcPr>
            <w:tcW w:type="dxa" w:w="831"/>
          </w:tcPr>
          <w:p>
            <w:pPr>
              <w:pStyle w:val="null3"/>
              <w:jc w:val="right"/>
            </w:pPr>
            <w:r>
              <w:rPr/>
              <w:t>40.00</w:t>
            </w:r>
          </w:p>
        </w:tc>
        <w:tc>
          <w:tcPr>
            <w:tcW w:type="dxa" w:w="831"/>
          </w:tcPr>
          <w:p>
            <w:pPr>
              <w:pStyle w:val="null3"/>
            </w:pPr>
            <w:r>
              <w:rPr/>
              <w:t>客观</w:t>
            </w:r>
          </w:p>
        </w:tc>
        <w:tc>
          <w:tcPr>
            <w:tcW w:type="dxa" w:w="1661"/>
          </w:tcPr>
          <w:p>
            <w:pPr>
              <w:pStyle w:val="null3"/>
            </w:pPr>
            <w:r>
              <w:rPr/>
              <w:t>商务标</w:t>
            </w:r>
          </w:p>
          <w:p>
            <w:pPr>
              <w:pStyle w:val="null3"/>
            </w:pPr>
            <w:r>
              <w:rPr/>
              <w:t>报价函</w:t>
            </w:r>
          </w:p>
          <w:p>
            <w:pPr>
              <w:pStyle w:val="null3"/>
            </w:pPr>
            <w:r>
              <w:rPr/>
              <w:t>标的清单</w:t>
            </w:r>
          </w:p>
          <w:p>
            <w:pPr>
              <w:pStyle w:val="null3"/>
            </w:pPr>
            <w:r>
              <w:rPr/>
              <w:t>中小企业声明函</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详见附件：标的清单</w:t>
      </w:r>
    </w:p>
    <w:p>
      <w:pPr>
        <w:pStyle w:val="null3"/>
        <w:ind w:firstLine="960"/>
      </w:pPr>
      <w:r>
        <w:rPr/>
        <w:t>详见附件：资格标</w:t>
      </w:r>
    </w:p>
    <w:p>
      <w:pPr>
        <w:pStyle w:val="null3"/>
        <w:ind w:firstLine="960"/>
      </w:pPr>
      <w:r>
        <w:rPr/>
        <w:t>详见附件：商务标</w:t>
      </w:r>
    </w:p>
    <w:p>
      <w:pPr>
        <w:pStyle w:val="null3"/>
        <w:ind w:firstLine="960"/>
      </w:pPr>
      <w:r>
        <w:rPr/>
        <w:t>详见附件：技术标</w:t>
      </w:r>
    </w:p>
    <w:p>
      <w:pPr>
        <w:pStyle w:val="null3"/>
      </w:pPr>
      <w:r>
        <w:rPr/>
        <w:t xml:space="preserve"> </w:t>
        <w:br/>
        <w:br w:type="page"/>
      </w:r>
    </w:p>
    <w:p>
      <w:pPr>
        <w:pStyle w:val="null3"/>
        <w:jc w:val="center"/>
        <w:outlineLvl w:val="1"/>
      </w:pPr>
      <w:r>
        <w:rPr>
          <w:b/>
          <w:sz w:val="36"/>
        </w:rPr>
        <w:t>第八章 拟签订采购合同文本</w:t>
      </w:r>
    </w:p>
    <w:p>
      <w:pPr>
        <w:pStyle w:val="null3"/>
      </w:pPr>
      <w:r>
        <w:rPr/>
        <w:t>详见附件：拟签订采购合同文本.docx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