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 w:hAnsi="仿宋" w:eastAsia="仿宋" w:cs="宋体"/>
          <w:b/>
          <w:color w:val="auto"/>
          <w:spacing w:val="30"/>
          <w:sz w:val="28"/>
          <w:highlight w:val="none"/>
          <w:lang w:bidi="ar"/>
        </w:rPr>
      </w:pPr>
      <w:r>
        <w:rPr>
          <w:rFonts w:hint="eastAsia" w:ascii="仿宋" w:hAnsi="仿宋" w:eastAsia="仿宋" w:cs="仿宋_GB2312"/>
          <w:b/>
          <w:color w:val="auto"/>
          <w:sz w:val="28"/>
          <w:highlight w:val="none"/>
        </w:rPr>
        <w:t>附件1</w:t>
      </w:r>
    </w:p>
    <w:p>
      <w:pPr>
        <w:jc w:val="center"/>
        <w:rPr>
          <w:rFonts w:hint="eastAsia" w:ascii="仿宋" w:hAnsi="仿宋" w:eastAsia="仿宋" w:cs="仿宋_GB2312"/>
          <w:color w:val="auto"/>
          <w:kern w:val="0"/>
          <w:sz w:val="28"/>
          <w:highlight w:val="none"/>
          <w:shd w:val="clear" w:color="auto" w:fill="FFFFFF"/>
        </w:rPr>
      </w:pPr>
      <w:r>
        <w:rPr>
          <w:rFonts w:hint="eastAsia" w:ascii="仿宋" w:hAnsi="仿宋" w:eastAsia="仿宋" w:cs="仿宋_GB2312"/>
          <w:b/>
          <w:bCs/>
          <w:color w:val="auto"/>
          <w:spacing w:val="-4"/>
          <w:w w:val="95"/>
          <w:sz w:val="28"/>
          <w:highlight w:val="none"/>
        </w:rPr>
        <w:t>“政采贷”业务介绍</w:t>
      </w:r>
    </w:p>
    <w:p>
      <w:pPr>
        <w:keepNext w:val="0"/>
        <w:keepLines w:val="0"/>
        <w:pageBreakBefore w:val="0"/>
        <w:widowControl w:val="0"/>
        <w:kinsoku/>
        <w:wordWrap/>
        <w:overflowPunct/>
        <w:topLinePunct w:val="0"/>
        <w:autoSpaceDE/>
        <w:autoSpaceDN/>
        <w:bidi w:val="0"/>
        <w:adjustRightInd/>
        <w:snapToGrid w:val="0"/>
        <w:spacing w:before="311" w:beforeLines="100" w:line="360" w:lineRule="auto"/>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政采贷，即政府采购合同融资，是银行机构以政府采购诚信考核和信用审查为基础</w:t>
      </w:r>
      <w:bookmarkStart w:id="0" w:name="_GoBack"/>
      <w:bookmarkEnd w:id="0"/>
      <w:r>
        <w:rPr>
          <w:rFonts w:hint="eastAsia" w:ascii="仿宋" w:hAnsi="仿宋" w:eastAsia="仿宋" w:cs="仿宋"/>
          <w:color w:val="auto"/>
          <w:sz w:val="28"/>
          <w:szCs w:val="28"/>
          <w:highlight w:val="none"/>
          <w:lang w:val="en-US" w:eastAsia="zh-CN"/>
        </w:rPr>
        <w:t>，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pPr>
        <w:rPr>
          <w:rFonts w:hint="eastAsia" w:ascii="仿宋" w:hAnsi="仿宋" w:eastAsia="仿宋" w:cs="仿宋"/>
          <w:color w:val="auto"/>
          <w:sz w:val="28"/>
          <w:szCs w:val="28"/>
          <w:highlight w:val="none"/>
          <w:lang w:val="en-US" w:eastAsia="zh-CN"/>
        </w:rPr>
        <w:sectPr>
          <w:pgSz w:w="11906" w:h="16838"/>
          <w:pgMar w:top="1440" w:right="1080" w:bottom="1440" w:left="1080" w:header="851" w:footer="964" w:gutter="0"/>
          <w:pgNumType w:fmt="decimal"/>
          <w:cols w:space="720" w:num="1"/>
          <w:docGrid w:linePitch="310" w:charSpace="0"/>
        </w:sectPr>
      </w:pPr>
      <w:r>
        <w:rPr>
          <w:rFonts w:hint="eastAsia" w:ascii="仿宋" w:hAnsi="仿宋" w:eastAsia="仿宋" w:cs="仿宋"/>
          <w:color w:val="auto"/>
          <w:sz w:val="28"/>
          <w:szCs w:val="28"/>
          <w:highlight w:val="none"/>
          <w:lang w:val="en-US" w:eastAsia="zh-CN"/>
        </w:rPr>
        <w:t>（国际港务区政府采购信用融资联系人：赵玮 029-83332219，15802952923  ）</w:t>
      </w:r>
    </w:p>
    <w:p>
      <w:pPr>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附件2</w:t>
      </w:r>
    </w:p>
    <w:p>
      <w:pPr>
        <w:jc w:val="center"/>
        <w:rPr>
          <w:rFonts w:hint="eastAsia" w:ascii="仿宋_GB2312" w:hAnsi="仿宋_GB2312" w:eastAsia="仿宋_GB2312" w:cs="仿宋_GB2312"/>
          <w:b/>
          <w:bCs/>
          <w:color w:val="auto"/>
          <w:spacing w:val="-4"/>
          <w:w w:val="95"/>
          <w:sz w:val="28"/>
          <w:szCs w:val="22"/>
          <w:highlight w:val="none"/>
        </w:rPr>
      </w:pPr>
      <w:r>
        <w:rPr>
          <w:rFonts w:hint="eastAsia" w:ascii="仿宋_GB2312" w:hAnsi="仿宋_GB2312" w:eastAsia="仿宋_GB2312" w:cs="仿宋_GB2312"/>
          <w:b/>
          <w:bCs/>
          <w:color w:val="auto"/>
          <w:spacing w:val="-4"/>
          <w:w w:val="95"/>
          <w:sz w:val="28"/>
          <w:szCs w:val="22"/>
          <w:highlight w:val="none"/>
        </w:rPr>
        <w:t>供应商融资申请操作手册</w:t>
      </w:r>
    </w:p>
    <w:p>
      <w:pPr>
        <w:pStyle w:val="4"/>
        <w:rPr>
          <w:rFonts w:hint="eastAsia" w:ascii="仿宋_GB2312" w:hAnsi="仿宋_GB2312" w:eastAsia="仿宋_GB2312" w:cs="仿宋_GB2312"/>
          <w:b/>
          <w:bCs/>
          <w:color w:val="auto"/>
          <w:spacing w:val="-4"/>
          <w:w w:val="95"/>
          <w:sz w:val="28"/>
          <w:szCs w:val="22"/>
          <w:highlight w:val="none"/>
        </w:rPr>
      </w:pPr>
    </w:p>
    <w:p>
      <w:pPr>
        <w:keepNext w:val="0"/>
        <w:keepLines w:val="0"/>
        <w:pageBreakBefore w:val="0"/>
        <w:widowControl w:val="0"/>
        <w:kinsoku/>
        <w:wordWrap/>
        <w:overflowPunct/>
        <w:topLinePunct w:val="0"/>
        <w:autoSpaceDE/>
        <w:autoSpaceDN/>
        <w:bidi w:val="0"/>
        <w:adjustRightInd/>
        <w:snapToGrid/>
        <w:spacing w:line="336" w:lineRule="auto"/>
        <w:ind w:firstLine="560" w:firstLineChars="200"/>
        <w:textAlignment w:val="auto"/>
        <w:rPr>
          <w:rFonts w:hint="eastAsia" w:ascii="仿宋_GB2312" w:hAnsi="仿宋_GB2312" w:eastAsia="仿宋_GB2312" w:cs="仿宋_GB2312"/>
          <w:b w:val="0"/>
          <w:bCs w:val="0"/>
          <w:color w:val="auto"/>
          <w:kern w:val="0"/>
          <w:sz w:val="28"/>
          <w:szCs w:val="22"/>
          <w:highlight w:val="none"/>
          <w:shd w:val="clear" w:color="auto" w:fill="FFFFFF"/>
        </w:rPr>
      </w:pPr>
      <w:r>
        <w:rPr>
          <w:rFonts w:hint="eastAsia" w:ascii="仿宋_GB2312" w:hAnsi="仿宋_GB2312" w:eastAsia="仿宋_GB2312" w:cs="仿宋_GB2312"/>
          <w:b w:val="0"/>
          <w:bCs w:val="0"/>
          <w:color w:val="auto"/>
          <w:kern w:val="0"/>
          <w:sz w:val="28"/>
          <w:szCs w:val="22"/>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pPr>
        <w:keepNext w:val="0"/>
        <w:keepLines w:val="0"/>
        <w:pageBreakBefore w:val="0"/>
        <w:widowControl w:val="0"/>
        <w:kinsoku/>
        <w:wordWrap/>
        <w:overflowPunct/>
        <w:topLinePunct w:val="0"/>
        <w:autoSpaceDE/>
        <w:autoSpaceDN/>
        <w:bidi w:val="0"/>
        <w:adjustRightInd/>
        <w:snapToGrid/>
        <w:spacing w:line="336" w:lineRule="auto"/>
        <w:ind w:firstLine="560" w:firstLineChars="200"/>
        <w:textAlignment w:val="auto"/>
        <w:rPr>
          <w:rFonts w:hint="eastAsia" w:ascii="仿宋_GB2312" w:hAnsi="仿宋_GB2312" w:eastAsia="仿宋_GB2312" w:cs="仿宋_GB2312"/>
          <w:b w:val="0"/>
          <w:bCs w:val="0"/>
          <w:color w:val="auto"/>
          <w:kern w:val="0"/>
          <w:sz w:val="28"/>
          <w:szCs w:val="22"/>
          <w:highlight w:val="none"/>
          <w:shd w:val="clear" w:color="auto" w:fill="FFFFFF"/>
        </w:rPr>
      </w:pPr>
      <w:r>
        <w:rPr>
          <w:rFonts w:hint="eastAsia" w:ascii="仿宋_GB2312" w:hAnsi="仿宋_GB2312" w:eastAsia="仿宋_GB2312" w:cs="仿宋_GB2312"/>
          <w:b w:val="0"/>
          <w:bCs w:val="0"/>
          <w:color w:val="auto"/>
          <w:kern w:val="0"/>
          <w:sz w:val="28"/>
          <w:szCs w:val="22"/>
          <w:highlight w:val="none"/>
          <w:shd w:val="clear" w:color="auto" w:fill="FFFFFF"/>
        </w:rPr>
        <w:t>业务办理流程简介</w:t>
      </w:r>
    </w:p>
    <w:p>
      <w:pPr>
        <w:keepNext w:val="0"/>
        <w:keepLines w:val="0"/>
        <w:pageBreakBefore w:val="0"/>
        <w:widowControl w:val="0"/>
        <w:kinsoku/>
        <w:wordWrap/>
        <w:overflowPunct/>
        <w:topLinePunct w:val="0"/>
        <w:autoSpaceDE/>
        <w:autoSpaceDN/>
        <w:bidi w:val="0"/>
        <w:adjustRightInd/>
        <w:snapToGrid/>
        <w:spacing w:line="336" w:lineRule="auto"/>
        <w:ind w:firstLine="560" w:firstLineChars="200"/>
        <w:textAlignment w:val="auto"/>
        <w:rPr>
          <w:rFonts w:hint="eastAsia" w:ascii="仿宋_GB2312" w:hAnsi="仿宋_GB2312" w:eastAsia="仿宋_GB2312" w:cs="仿宋_GB2312"/>
          <w:color w:val="auto"/>
          <w:kern w:val="0"/>
          <w:sz w:val="28"/>
          <w:szCs w:val="22"/>
          <w:highlight w:val="none"/>
          <w:shd w:val="clear" w:color="auto" w:fill="FFFFFF"/>
        </w:rPr>
      </w:pPr>
      <w:r>
        <w:rPr>
          <w:rFonts w:hint="eastAsia" w:ascii="仿宋_GB2312" w:hAnsi="仿宋_GB2312" w:eastAsia="仿宋_GB2312" w:cs="仿宋_GB2312"/>
          <w:color w:val="auto"/>
          <w:kern w:val="0"/>
          <w:sz w:val="28"/>
          <w:szCs w:val="22"/>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pPr>
        <w:keepNext w:val="0"/>
        <w:keepLines w:val="0"/>
        <w:pageBreakBefore w:val="0"/>
        <w:widowControl w:val="0"/>
        <w:kinsoku/>
        <w:wordWrap/>
        <w:overflowPunct/>
        <w:topLinePunct w:val="0"/>
        <w:autoSpaceDE/>
        <w:autoSpaceDN/>
        <w:bidi w:val="0"/>
        <w:adjustRightInd/>
        <w:snapToGrid/>
        <w:spacing w:line="336" w:lineRule="auto"/>
        <w:ind w:firstLine="560" w:firstLineChars="200"/>
        <w:textAlignment w:val="auto"/>
        <w:rPr>
          <w:rFonts w:hint="eastAsia" w:ascii="仿宋_GB2312" w:hAnsi="仿宋_GB2312" w:eastAsia="仿宋_GB2312" w:cs="仿宋_GB2312"/>
          <w:color w:val="auto"/>
          <w:kern w:val="0"/>
          <w:sz w:val="28"/>
          <w:szCs w:val="22"/>
          <w:highlight w:val="none"/>
          <w:shd w:val="clear" w:color="auto" w:fill="FFFFFF"/>
        </w:rPr>
      </w:pPr>
      <w:r>
        <w:rPr>
          <w:rFonts w:hint="eastAsia" w:ascii="仿宋_GB2312" w:hAnsi="仿宋_GB2312" w:eastAsia="仿宋_GB2312" w:cs="仿宋_GB2312"/>
          <w:color w:val="auto"/>
          <w:kern w:val="0"/>
          <w:sz w:val="28"/>
          <w:szCs w:val="22"/>
          <w:highlight w:val="none"/>
          <w:shd w:val="clear" w:color="auto" w:fill="FFFFFF"/>
        </w:rPr>
        <w:t>业务流程简图如下：</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eastAsia" w:ascii="仿宋_GB2312" w:hAnsi="仿宋_GB2312" w:eastAsia="仿宋_GB2312" w:cs="仿宋_GB2312"/>
          <w:b w:val="0"/>
          <w:bCs w:val="0"/>
          <w:color w:val="auto"/>
          <w:kern w:val="0"/>
          <w:sz w:val="28"/>
          <w:szCs w:val="22"/>
          <w:highlight w:val="none"/>
          <w:shd w:val="clear" w:color="auto" w:fill="FFFFFF"/>
          <w:lang w:val="en-US" w:eastAsia="zh-CN" w:bidi="ar-SA"/>
        </w:rPr>
      </w:pP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4265" cy="3486150"/>
            <wp:effectExtent l="0" t="0" r="3175" b="381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4"/>
                    <a:stretch>
                      <a:fillRect/>
                    </a:stretch>
                  </pic:blipFill>
                  <pic:spPr>
                    <a:xfrm>
                      <a:off x="0" y="0"/>
                      <a:ext cx="6184265" cy="3486150"/>
                    </a:xfrm>
                    <a:prstGeom prst="rect">
                      <a:avLst/>
                    </a:prstGeom>
                    <a:noFill/>
                    <a:ln>
                      <a:noFill/>
                    </a:ln>
                  </pic:spPr>
                </pic:pic>
              </a:graphicData>
            </a:graphic>
          </wp:inline>
        </w:drawing>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2360" cy="3535045"/>
            <wp:effectExtent l="0" t="0" r="5080" b="63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5"/>
                    <a:stretch>
                      <a:fillRect/>
                    </a:stretch>
                  </pic:blipFill>
                  <pic:spPr>
                    <a:xfrm>
                      <a:off x="0" y="0"/>
                      <a:ext cx="6182360" cy="3535045"/>
                    </a:xfrm>
                    <a:prstGeom prst="rect">
                      <a:avLst/>
                    </a:prstGeom>
                    <a:noFill/>
                    <a:ln>
                      <a:noFill/>
                    </a:ln>
                  </pic:spPr>
                </pic:pic>
              </a:graphicData>
            </a:graphic>
          </wp:inline>
        </w:drawing>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1、首页</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系统首页主要呈现省政府采购合同融资相关政策法规、申请基本流程、成交数据统计，及供应商帮助内容，供应商企业可由“我的账户”登录，如下图：</w:t>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4265" cy="3759835"/>
            <wp:effectExtent l="0" t="0" r="3175" b="444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6"/>
                    <a:stretch>
                      <a:fillRect/>
                    </a:stretch>
                  </pic:blipFill>
                  <pic:spPr>
                    <a:xfrm>
                      <a:off x="0" y="0"/>
                      <a:ext cx="6184265" cy="3759835"/>
                    </a:xfrm>
                    <a:prstGeom prst="rect">
                      <a:avLst/>
                    </a:prstGeom>
                    <a:noFill/>
                    <a:ln>
                      <a:noFill/>
                    </a:ln>
                  </pic:spPr>
                </pic:pic>
              </a:graphicData>
            </a:graphic>
          </wp:inline>
        </w:drawing>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2、登录及企业资料确认</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2.1账号登录</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eastAsia" w:ascii="Times New Roman" w:hAnsi="Times New Roman" w:eastAsia="宋体" w:cs="Times New Roman"/>
          <w:color w:val="auto"/>
          <w:kern w:val="0"/>
          <w:sz w:val="20"/>
          <w:szCs w:val="20"/>
          <w:highlight w:val="none"/>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陕西省政府采购网的注册用户，点击首页右上角“我的账户”按钮，凭企业统一信用代码直接登录，默认密码为123456，即进入首页默认账号登录，如下图：</w:t>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2360" cy="3118485"/>
            <wp:effectExtent l="0" t="0" r="5080" b="571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7"/>
                    <a:stretch>
                      <a:fillRect/>
                    </a:stretch>
                  </pic:blipFill>
                  <pic:spPr>
                    <a:xfrm>
                      <a:off x="0" y="0"/>
                      <a:ext cx="6182360" cy="3118485"/>
                    </a:xfrm>
                    <a:prstGeom prst="rect">
                      <a:avLst/>
                    </a:prstGeom>
                    <a:noFill/>
                    <a:ln>
                      <a:noFill/>
                    </a:ln>
                  </pic:spPr>
                </pic:pic>
              </a:graphicData>
            </a:graphic>
          </wp:inline>
        </w:drawing>
      </w:r>
      <w:r>
        <w:rPr>
          <w:rFonts w:hint="eastAsia" w:ascii="Times New Roman" w:hAnsi="Times New Roman" w:eastAsia="宋体" w:cs="Times New Roman"/>
          <w:color w:val="auto"/>
          <w:kern w:val="0"/>
          <w:sz w:val="20"/>
          <w:szCs w:val="20"/>
          <w:highlight w:val="none"/>
          <w:lang w:val="en-US" w:eastAsia="zh-CN" w:bidi="ar-SA"/>
        </w:rPr>
        <w:t xml:space="preserve">  </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初次登录的平台的用户，需修改登录密码，并绑定在陕西省政府采购网预留的手机号，绑定手机后,提示绑定成功，返回首页。</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2.2企业资料确认</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供应商企业首次登录成功后须确认或补全企业资料，点击“提交”按钮，提示修改成功：</w:t>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2360" cy="3900170"/>
            <wp:effectExtent l="0" t="0" r="5080" b="127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8"/>
                    <a:stretch>
                      <a:fillRect/>
                    </a:stretch>
                  </pic:blipFill>
                  <pic:spPr>
                    <a:xfrm>
                      <a:off x="0" y="0"/>
                      <a:ext cx="6182360" cy="39001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资料保存成功，即可以开始使用本系统所有功能。</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3、可融资项目及融资意向</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3.1查看可融资项目</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如果企业有中标项目或成交合同，在“可融资项目”菜单中可见所有项目和合同的列表，如下图：</w:t>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1725" cy="3366135"/>
            <wp:effectExtent l="0" t="0" r="5715" b="190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9"/>
                    <a:stretch>
                      <a:fillRect/>
                    </a:stretch>
                  </pic:blipFill>
                  <pic:spPr>
                    <a:xfrm>
                      <a:off x="0" y="0"/>
                      <a:ext cx="6181725" cy="336613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在列表页选择需要融资的项目或合同，点击“申请贷款”按钮开始发起融资申请，跳转到填写融资意向书页面。</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如果可融资项目较多，可通过输入关键字搜索相关中标项目或成交合同。</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3.2、填写信用融资意向书</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pPr>
        <w:widowControl w:val="0"/>
        <w:snapToGrid w:val="0"/>
        <w:jc w:val="left"/>
        <w:rPr>
          <w:rFonts w:hint="default" w:ascii="仿宋_GB2312" w:hAnsi="仿宋_GB2312" w:eastAsia="仿宋_GB2312" w:cs="仿宋_GB2312"/>
          <w:color w:val="auto"/>
          <w:kern w:val="0"/>
          <w:sz w:val="28"/>
          <w:szCs w:val="22"/>
          <w:highlight w:val="none"/>
          <w:shd w:val="clear" w:color="auto" w:fill="FFFFFF"/>
          <w:lang w:val="en-US" w:eastAsia="zh-CN" w:bidi="ar-SA"/>
        </w:rPr>
      </w:pP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7440" cy="7145020"/>
            <wp:effectExtent l="0" t="0" r="0" b="254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0"/>
                    <a:stretch>
                      <a:fillRect/>
                    </a:stretch>
                  </pic:blipFill>
                  <pic:spPr>
                    <a:xfrm>
                      <a:off x="0" y="0"/>
                      <a:ext cx="6187440" cy="71450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ascii="Times New Roman" w:hAnsi="Times New Roman" w:eastAsia="宋体" w:cs="Times New Roman"/>
          <w:color w:val="auto"/>
          <w:kern w:val="0"/>
          <w:sz w:val="20"/>
          <w:szCs w:val="20"/>
          <w:highlight w:val="none"/>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确认填写信息完整无误后点击“下一步”，选择意向银行：</w:t>
      </w:r>
      <w:r>
        <w:rPr>
          <w:rFonts w:ascii="Times New Roman" w:hAnsi="Times New Roman" w:eastAsia="宋体" w:cs="Times New Roman"/>
          <w:color w:val="auto"/>
          <w:kern w:val="0"/>
          <w:sz w:val="20"/>
          <w:szCs w:val="20"/>
          <w:highlight w:val="none"/>
          <w:lang w:val="en-US" w:eastAsia="zh-CN" w:bidi="ar-SA"/>
        </w:rPr>
        <w:drawing>
          <wp:inline distT="0" distB="0" distL="114300" distR="114300">
            <wp:extent cx="6187440" cy="2217420"/>
            <wp:effectExtent l="0" t="0" r="0" b="7620"/>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pic:cNvPicPr>
                      <a:picLocks noChangeAspect="1"/>
                    </pic:cNvPicPr>
                  </pic:nvPicPr>
                  <pic:blipFill>
                    <a:blip r:embed="rId11"/>
                    <a:stretch>
                      <a:fillRect/>
                    </a:stretch>
                  </pic:blipFill>
                  <pic:spPr>
                    <a:xfrm>
                      <a:off x="0" y="0"/>
                      <a:ext cx="6187440" cy="22174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eastAsia"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点击“提交融资意向”按钮，提示提交成功，并可直接点击“申请进度”查看融资进度：</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color w:val="auto"/>
          <w:kern w:val="0"/>
          <w:sz w:val="28"/>
          <w:szCs w:val="22"/>
          <w:highlight w:val="none"/>
          <w:shd w:val="clear" w:color="auto" w:fill="FFFFFF"/>
          <w:lang w:val="en-US" w:eastAsia="zh-CN" w:bidi="ar-SA"/>
        </w:rPr>
      </w:pPr>
      <w:r>
        <w:rPr>
          <w:rFonts w:ascii="宋体" w:hAnsi="宋体" w:eastAsia="宋体" w:cs="宋体"/>
          <w:color w:val="auto"/>
          <w:kern w:val="2"/>
          <w:sz w:val="24"/>
          <w:szCs w:val="24"/>
          <w:highlight w:val="none"/>
          <w:lang w:val="en-US" w:eastAsia="zh-CN" w:bidi="ar-SA"/>
        </w:rPr>
        <w:drawing>
          <wp:inline distT="0" distB="0" distL="114300" distR="114300">
            <wp:extent cx="6186170" cy="2232660"/>
            <wp:effectExtent l="0" t="0" r="1270" b="762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2"/>
                    <a:stretch>
                      <a:fillRect/>
                    </a:stretch>
                  </pic:blipFill>
                  <pic:spPr>
                    <a:xfrm>
                      <a:off x="0" y="0"/>
                      <a:ext cx="6186170" cy="2232660"/>
                    </a:xfrm>
                    <a:prstGeom prst="rect">
                      <a:avLst/>
                    </a:prstGeom>
                    <a:noFill/>
                    <a:ln>
                      <a:noFill/>
                    </a:ln>
                  </pic:spPr>
                </pic:pic>
              </a:graphicData>
            </a:graphic>
          </wp:inline>
        </w:drawing>
      </w:r>
      <w:r>
        <w:rPr>
          <w:rFonts w:hint="default" w:ascii="仿宋_GB2312" w:hAnsi="仿宋_GB2312" w:eastAsia="仿宋_GB2312" w:cs="仿宋_GB2312"/>
          <w:color w:val="auto"/>
          <w:kern w:val="0"/>
          <w:sz w:val="28"/>
          <w:szCs w:val="22"/>
          <w:highlight w:val="none"/>
          <w:shd w:val="clear" w:color="auto" w:fill="FFFFFF"/>
          <w:lang w:val="en-US" w:eastAsia="zh-CN" w:bidi="ar-SA"/>
        </w:rPr>
        <w:t>4、</w:t>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查看</w:t>
      </w:r>
      <w:r>
        <w:rPr>
          <w:rFonts w:hint="default" w:ascii="仿宋_GB2312" w:hAnsi="仿宋_GB2312" w:eastAsia="仿宋_GB2312" w:cs="仿宋_GB2312"/>
          <w:color w:val="auto"/>
          <w:kern w:val="0"/>
          <w:sz w:val="28"/>
          <w:szCs w:val="22"/>
          <w:highlight w:val="none"/>
          <w:shd w:val="clear" w:color="auto" w:fill="FFFFFF"/>
          <w:lang w:val="en-US" w:eastAsia="zh-CN" w:bidi="ar-SA"/>
        </w:rPr>
        <w:t>申请审批进度</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提交融资意向后，银行对申请的审批进度会在“我的贷款-申请进度”中显示，如有审批进度更新，会在相关节点有消息提示，可按消息提示的内容进行相关操作：</w:t>
      </w:r>
    </w:p>
    <w:p>
      <w:pPr>
        <w:keepNext w:val="0"/>
        <w:keepLines w:val="0"/>
        <w:pageBreakBefore w:val="0"/>
        <w:widowControl w:val="0"/>
        <w:kinsoku/>
        <w:wordWrap/>
        <w:overflowPunct/>
        <w:topLinePunct w:val="0"/>
        <w:autoSpaceDE/>
        <w:autoSpaceDN/>
        <w:bidi w:val="0"/>
        <w:adjustRightInd/>
        <w:snapToGrid w:val="0"/>
        <w:spacing w:line="360" w:lineRule="auto"/>
        <w:ind w:left="480" w:hanging="480" w:hanging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ascii="宋体" w:hAnsi="宋体" w:eastAsia="宋体" w:cs="宋体"/>
          <w:color w:val="auto"/>
          <w:kern w:val="2"/>
          <w:sz w:val="24"/>
          <w:szCs w:val="24"/>
          <w:highlight w:val="none"/>
          <w:lang w:val="en-US" w:eastAsia="zh-CN" w:bidi="ar-SA"/>
        </w:rPr>
        <w:drawing>
          <wp:inline distT="0" distB="0" distL="114300" distR="114300">
            <wp:extent cx="6185535" cy="3103880"/>
            <wp:effectExtent l="0" t="0" r="1905" b="508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3"/>
                    <a:stretch>
                      <a:fillRect/>
                    </a:stretch>
                  </pic:blipFill>
                  <pic:spPr>
                    <a:xfrm>
                      <a:off x="0" y="0"/>
                      <a:ext cx="6185535" cy="3103880"/>
                    </a:xfrm>
                    <a:prstGeom prst="rect">
                      <a:avLst/>
                    </a:prstGeom>
                    <a:noFill/>
                    <a:ln>
                      <a:noFill/>
                    </a:ln>
                  </pic:spPr>
                </pic:pic>
              </a:graphicData>
            </a:graphic>
          </wp:inline>
        </w:drawing>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当申请被银行拒绝或其他原因终止时，企业可以重新发起申请。</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5、查看贷款还款进度</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企业与银行签订贷款合同后，可在“我的贷款-贷款合同”中查看该笔贷款的还款执行进度:</w:t>
      </w:r>
    </w:p>
    <w:p>
      <w:pPr>
        <w:widowControl w:val="0"/>
        <w:snapToGrid w:val="0"/>
        <w:jc w:val="left"/>
        <w:rPr>
          <w:rFonts w:hint="eastAsia" w:ascii="Times New Roman" w:hAnsi="Times New Roman" w:eastAsia="宋体" w:cs="Times New Roman"/>
          <w:color w:val="auto"/>
          <w:kern w:val="0"/>
          <w:sz w:val="20"/>
          <w:szCs w:val="20"/>
          <w:highlight w:val="none"/>
          <w:lang w:val="en-US" w:eastAsia="zh-CN" w:bidi="ar-SA"/>
        </w:rPr>
      </w:pP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ascii="宋体" w:hAnsi="宋体" w:eastAsia="宋体" w:cs="宋体"/>
          <w:color w:val="auto"/>
          <w:kern w:val="2"/>
          <w:sz w:val="24"/>
          <w:szCs w:val="24"/>
          <w:highlight w:val="none"/>
          <w:lang w:val="en-US" w:eastAsia="zh-CN" w:bidi="ar-SA"/>
        </w:rPr>
        <w:drawing>
          <wp:inline distT="0" distB="0" distL="114300" distR="114300">
            <wp:extent cx="6186805" cy="3089910"/>
            <wp:effectExtent l="0" t="0" r="635" b="381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4"/>
                    <a:stretch>
                      <a:fillRect/>
                    </a:stretch>
                  </pic:blipFill>
                  <pic:spPr>
                    <a:xfrm>
                      <a:off x="0" y="0"/>
                      <a:ext cx="6186805" cy="3089910"/>
                    </a:xfrm>
                    <a:prstGeom prst="rect">
                      <a:avLst/>
                    </a:prstGeom>
                    <a:noFill/>
                    <a:ln>
                      <a:noFill/>
                    </a:ln>
                  </pic:spPr>
                </pic:pic>
              </a:graphicData>
            </a:graphic>
          </wp:inline>
        </w:drawing>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6、查看融资服务及产品详情</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6.1查看融资服务产品列表</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所有人都可通过该模块了解产品的基本情况，并且选择筛选条件查看最适合的融资产品：</w:t>
      </w:r>
    </w:p>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ascii="宋体" w:hAnsi="宋体" w:eastAsia="宋体" w:cs="宋体"/>
          <w:color w:val="auto"/>
          <w:kern w:val="2"/>
          <w:sz w:val="24"/>
          <w:szCs w:val="24"/>
          <w:highlight w:val="none"/>
          <w:lang w:val="en-US" w:eastAsia="zh-CN" w:bidi="ar-SA"/>
        </w:rPr>
        <w:drawing>
          <wp:inline distT="0" distB="0" distL="114300" distR="114300">
            <wp:extent cx="6188075" cy="3999865"/>
            <wp:effectExtent l="0" t="0" r="14605" b="8255"/>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pic:cNvPicPr>
                  </pic:nvPicPr>
                  <pic:blipFill>
                    <a:blip r:embed="rId15"/>
                    <a:stretch>
                      <a:fillRect/>
                    </a:stretch>
                  </pic:blipFill>
                  <pic:spPr>
                    <a:xfrm>
                      <a:off x="0" y="0"/>
                      <a:ext cx="6188075" cy="3999865"/>
                    </a:xfrm>
                    <a:prstGeom prst="rect">
                      <a:avLst/>
                    </a:prstGeom>
                    <a:noFill/>
                    <a:ln>
                      <a:noFill/>
                    </a:ln>
                  </pic:spPr>
                </pic:pic>
              </a:graphicData>
            </a:graphic>
          </wp:inline>
        </w:drawing>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6.2查看融资产品详情</w:t>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点击贷款超市的产品图片，可查看该产品的详情：</w:t>
      </w: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drawing>
          <wp:inline distT="0" distB="0" distL="114300" distR="114300">
            <wp:extent cx="6188075" cy="6033770"/>
            <wp:effectExtent l="0" t="0" r="14605"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6188075" cy="60337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pPr>
      <w:r>
        <w:rPr>
          <w:rFonts w:hint="default" w:ascii="仿宋_GB2312" w:hAnsi="仿宋_GB2312" w:eastAsia="仿宋_GB2312" w:cs="仿宋_GB2312"/>
          <w:b w:val="0"/>
          <w:bCs w:val="0"/>
          <w:color w:val="auto"/>
          <w:kern w:val="0"/>
          <w:sz w:val="28"/>
          <w:szCs w:val="22"/>
          <w:highlight w:val="none"/>
          <w:shd w:val="clear" w:color="auto" w:fill="FFFFFF"/>
          <w:lang w:val="en-US" w:eastAsia="zh-CN" w:bidi="ar-SA"/>
        </w:rPr>
        <w:t>在登录状态下点击我要申请贷款可跳转到查看可融资项目页面。</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0"/>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VjM2I5NmY0MjFlN2NlZjMxNGEzMTJmZmIyZTMwMjkifQ=="/>
  </w:docVars>
  <w:rsids>
    <w:rsidRoot w:val="00000000"/>
    <w:rsid w:val="15F44A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qFormat="1"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Normal Indent"/>
    <w:basedOn w:val="1"/>
    <w:next w:val="3"/>
    <w:uiPriority w:val="0"/>
    <w:pPr>
      <w:ind w:firstLine="420"/>
    </w:pPr>
  </w:style>
  <w:style w:type="paragraph" w:styleId="3">
    <w:name w:val="toc 4"/>
    <w:basedOn w:val="1"/>
    <w:next w:val="1"/>
    <w:unhideWhenUsed/>
    <w:qFormat/>
    <w:uiPriority w:val="39"/>
    <w:pPr>
      <w:ind w:left="1260" w:leftChars="600"/>
    </w:pPr>
  </w:style>
  <w:style w:type="paragraph" w:styleId="4">
    <w:name w:val="footer"/>
    <w:basedOn w:val="1"/>
    <w:unhideWhenUsed/>
    <w:qFormat/>
    <w:uiPriority w:val="0"/>
    <w:pPr>
      <w:tabs>
        <w:tab w:val="center" w:pos="4153"/>
        <w:tab w:val="right" w:pos="8306"/>
      </w:tabs>
      <w:snapToGrid w:val="0"/>
      <w:jc w:val="left"/>
    </w:pPr>
    <w:rPr>
      <w:rFonts w:hint="eastAsia" w:ascii="宋体" w:hAnsi="宋体" w:eastAsia="仿宋" w:cs="宋体"/>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0</Words>
  <Characters>0</Characters>
  <Lines>0</Lines>
  <Paragraphs>0</Paragraphs>
  <TotalTime>0</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2024-05-22T08:56:01Z</dcterms:created>
  <dc:creator>123</dc:creator>
  <cp:lastModifiedBy>123</cp:lastModifiedBy>
  <dcterms:modified xsi:type="dcterms:W3CDTF">2024-05-22T08:56:17Z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77DAFEB6E08A4FD295240C7FB450474C_12</vt:lpwstr>
  </property>
</Properties>
</file>