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版本号：GWZC-2024-185（ZR20GN2024-ZB-077）20250217003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公车维修服务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GWZC-2024-185（ZR20GN2024-ZB-077）</w:t>
      </w:r>
      <w:r>
        <w:br/>
      </w:r>
      <w:r>
        <w:br/>
      </w:r>
      <w:r>
        <w:br/>
      </w:r>
    </w:p>
    <w:p>
      <w:pPr>
        <w:pStyle w:val="null3"/>
        <w:jc w:val="center"/>
        <w:outlineLvl w:val="2"/>
      </w:pPr>
      <w:r>
        <w:rPr>
          <w:rFonts w:ascii="仿宋_GB2312" w:hAnsi="仿宋_GB2312" w:cs="仿宋_GB2312" w:eastAsia="仿宋_GB2312"/>
          <w:sz w:val="28"/>
          <w:b/>
        </w:rPr>
        <w:t>西安浐灞国际港党政办公室</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西安浐灞国际港党政办公室</w:t>
      </w:r>
      <w:r>
        <w:rPr>
          <w:rFonts w:ascii="仿宋_GB2312" w:hAnsi="仿宋_GB2312" w:cs="仿宋_GB2312" w:eastAsia="仿宋_GB2312"/>
        </w:rPr>
        <w:t>委托，拟对</w:t>
      </w:r>
      <w:r>
        <w:rPr>
          <w:rFonts w:ascii="仿宋_GB2312" w:hAnsi="仿宋_GB2312" w:cs="仿宋_GB2312" w:eastAsia="仿宋_GB2312"/>
        </w:rPr>
        <w:t>公车维修服务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GWZC-2024-185（ZR20GN2024-ZB-077）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公车维修服务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主要服务内容包含车辆设备大中小修，车辆配件、设备配件修复更换服务，以及现场救援服务等。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采购包1（公车维修服务（采购包 1））：属于专门面向中小企业采购。</w:t>
      </w:r>
    </w:p>
    <w:p>
      <w:pPr>
        <w:pStyle w:val="null3"/>
      </w:pPr>
      <w:r>
        <w:rPr>
          <w:rFonts w:ascii="仿宋_GB2312" w:hAnsi="仿宋_GB2312" w:cs="仿宋_GB2312" w:eastAsia="仿宋_GB2312"/>
        </w:rPr>
        <w:t>采购包2（公车维修服务（采购包2））：属于专门面向中小企业采购。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1、法定代表人（负责人）授权委托书/法定代表人（负责人）身份证明：法定代表人参加投标的，须提供身份证；法定代表人授权他人参加投标的，须提供法定代表人授权委托书及被授权人身份证。</w:t>
      </w:r>
    </w:p>
    <w:p>
      <w:pPr>
        <w:pStyle w:val="null3"/>
      </w:pPr>
      <w:r>
        <w:rPr>
          <w:rFonts w:ascii="仿宋_GB2312" w:hAnsi="仿宋_GB2312" w:cs="仿宋_GB2312" w:eastAsia="仿宋_GB2312"/>
        </w:rPr>
        <w:t>2、信用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3、联合体：本项目不接受联合体。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1、法定代表人（负责人）授权委托书/法定代表人（负责人）身份证明：法定代表人参加投标的，须提供身份证；法定代表人授权他人参加投标的，须提供法定代表人授权委托书及被授权人身份证。</w:t>
      </w:r>
    </w:p>
    <w:p>
      <w:pPr>
        <w:pStyle w:val="null3"/>
      </w:pPr>
      <w:r>
        <w:rPr>
          <w:rFonts w:ascii="仿宋_GB2312" w:hAnsi="仿宋_GB2312" w:cs="仿宋_GB2312" w:eastAsia="仿宋_GB2312"/>
        </w:rPr>
        <w:t>2、信用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3、联合体：本项目不接受联合体。</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西安浐灞国际港党政办公室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029-83521125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 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p>
          <w:p>
            <w:pPr>
              <w:pStyle w:val="null3"/>
            </w:pPr>
            <w:r>
              <w:rPr>
                <w:rFonts w:ascii="仿宋_GB2312" w:hAnsi="仿宋_GB2312" w:cs="仿宋_GB2312" w:eastAsia="仿宋_GB2312"/>
              </w:rPr>
              <w:t>采购包2：900,000.00元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参照《国家计委关于印发&lt;招标代理服务收费管理暂行办法&gt;的通知》（计价格[2002]1980号）和《关于招标代理服务收费有关问题的通知》（发改办价格『2003』857号）规定按标准收取，若按照标准收取不足6000元，按6000元计取。 中标单位的招标代理服务费交纳信息 银行户名：陕西中润国际招标有限公司 开户银行：中信银行西安雁塔西路支行 账 号：7251310182600086350 联系人：李帆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西安浐灞国际港党政办公室</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西安浐灞国际港党政办公室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西安浐灞国际港党政办公室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主要服务内容包含车辆设备大中小修，车辆配件、设备配件修复更换服务，以及现场救援服务等。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公车维修服务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公车维修服务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标的名称：公车维修服务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062"/>
            </w:tblGrid>
            <w:tr>
              <w:tc>
                <w:tcPr>
                  <w:tcW w:type="dxa" w:w="2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西安浐灞国际港公务车辆维修服务，车辆均为公务车辆，其车辆品牌包括：比亚迪、别克、传祺、大众、帝豪、哈弗、吉利、江铃、金杯、柯斯达、奇骏、荣威、五菱、依维柯、宇通、中联等。</w:t>
                  </w:r>
                </w:p>
                <w:p>
                  <w:pPr>
                    <w:pStyle w:val="null3"/>
                    <w:jc w:val="both"/>
                  </w:pPr>
                  <w:r>
                    <w:rPr>
                      <w:rFonts w:ascii="仿宋_GB2312" w:hAnsi="仿宋_GB2312" w:cs="仿宋_GB2312" w:eastAsia="仿宋_GB2312"/>
                      <w:sz w:val="19"/>
                    </w:rPr>
                    <w:t>具体车型及维修维护数量以实际发生为准。</w:t>
                  </w:r>
                </w:p>
                <w:p>
                  <w:pPr>
                    <w:pStyle w:val="null3"/>
                    <w:jc w:val="both"/>
                  </w:pPr>
                  <w:r>
                    <w:rPr>
                      <w:rFonts w:ascii="仿宋_GB2312" w:hAnsi="仿宋_GB2312" w:cs="仿宋_GB2312" w:eastAsia="仿宋_GB2312"/>
                      <w:sz w:val="19"/>
                    </w:rPr>
                    <w:t>二、服务内容</w:t>
                  </w:r>
                </w:p>
                <w:p>
                  <w:pPr>
                    <w:pStyle w:val="null3"/>
                    <w:jc w:val="both"/>
                  </w:pPr>
                  <w:r>
                    <w:rPr>
                      <w:rFonts w:ascii="仿宋_GB2312" w:hAnsi="仿宋_GB2312" w:cs="仿宋_GB2312" w:eastAsia="仿宋_GB2312"/>
                      <w:sz w:val="19"/>
                    </w:rPr>
                    <w:t>（一）故障维修：包括车辆及设备大修、中小修故障的专项维修，结合现场实际情况，对车辆配件、设备配件进行修复和更换，保证车辆安全平稳运行。</w:t>
                  </w:r>
                </w:p>
                <w:p>
                  <w:pPr>
                    <w:pStyle w:val="null3"/>
                    <w:jc w:val="both"/>
                  </w:pPr>
                  <w:r>
                    <w:rPr>
                      <w:rFonts w:ascii="仿宋_GB2312" w:hAnsi="仿宋_GB2312" w:cs="仿宋_GB2312" w:eastAsia="仿宋_GB2312"/>
                      <w:sz w:val="19"/>
                    </w:rPr>
                    <w:t>（二）维护保养：正常保养按照车辆行驶每5000公里保养一次，其他维护项目根据车辆检查的实际情况，确定维护项目。</w:t>
                  </w:r>
                </w:p>
                <w:p>
                  <w:pPr>
                    <w:pStyle w:val="null3"/>
                    <w:jc w:val="both"/>
                  </w:pPr>
                  <w:r>
                    <w:rPr>
                      <w:rFonts w:ascii="仿宋_GB2312" w:hAnsi="仿宋_GB2312" w:cs="仿宋_GB2312" w:eastAsia="仿宋_GB2312"/>
                      <w:sz w:val="19"/>
                    </w:rPr>
                    <w:t>（三）现场救援：包括路途中救援以及作业现场救援。</w:t>
                  </w:r>
                </w:p>
                <w:p>
                  <w:pPr>
                    <w:pStyle w:val="null3"/>
                    <w:jc w:val="both"/>
                  </w:pPr>
                  <w:r>
                    <w:rPr>
                      <w:rFonts w:ascii="仿宋_GB2312" w:hAnsi="仿宋_GB2312" w:cs="仿宋_GB2312" w:eastAsia="仿宋_GB2312"/>
                      <w:sz w:val="19"/>
                    </w:rPr>
                    <w:t>三、服务方式</w:t>
                  </w:r>
                </w:p>
                <w:p>
                  <w:pPr>
                    <w:pStyle w:val="null3"/>
                    <w:jc w:val="both"/>
                  </w:pPr>
                  <w:r>
                    <w:rPr>
                      <w:rFonts w:ascii="仿宋_GB2312" w:hAnsi="仿宋_GB2312" w:cs="仿宋_GB2312" w:eastAsia="仿宋_GB2312"/>
                      <w:sz w:val="19"/>
                    </w:rPr>
                    <w:t>现场维修或到厂维修。</w:t>
                  </w:r>
                </w:p>
                <w:p>
                  <w:pPr>
                    <w:pStyle w:val="null3"/>
                    <w:jc w:val="both"/>
                  </w:pPr>
                  <w:r>
                    <w:rPr>
                      <w:rFonts w:ascii="仿宋_GB2312" w:hAnsi="仿宋_GB2312" w:cs="仿宋_GB2312" w:eastAsia="仿宋_GB2312"/>
                      <w:sz w:val="19"/>
                    </w:rPr>
                    <w:t>四、服务要求</w:t>
                  </w:r>
                </w:p>
                <w:p>
                  <w:pPr>
                    <w:pStyle w:val="null3"/>
                    <w:jc w:val="both"/>
                  </w:pPr>
                  <w:r>
                    <w:rPr>
                      <w:rFonts w:ascii="仿宋_GB2312" w:hAnsi="仿宋_GB2312" w:cs="仿宋_GB2312" w:eastAsia="仿宋_GB2312"/>
                      <w:sz w:val="19"/>
                    </w:rPr>
                    <w:t>（一）质量要求：维修配件须是原厂配件并保证质量。维修维护后，要求整车清洁，汽车外表、三滤应清洁，车身面漆、腻子无脱落现象，补漆颜色应与原色一致；发动机、变速箱、转向器、减速器润滑符合规定；全车无油水气泄露，密封良好，电器装置可靠，绝缘良好，灯光仪表信号灯完好。</w:t>
                  </w:r>
                </w:p>
                <w:p>
                  <w:pPr>
                    <w:pStyle w:val="null3"/>
                    <w:jc w:val="both"/>
                  </w:pPr>
                  <w:r>
                    <w:rPr>
                      <w:rFonts w:ascii="仿宋_GB2312" w:hAnsi="仿宋_GB2312" w:cs="仿宋_GB2312" w:eastAsia="仿宋_GB2312"/>
                      <w:sz w:val="19"/>
                    </w:rPr>
                    <w:t>（二）时限要求：提供24小时故障救援服务，市内必须在30分钟内到达。小修车辆随到随修，大修车辆在三天内完成，不能影响业务用车需求。</w:t>
                  </w:r>
                </w:p>
                <w:p>
                  <w:pPr>
                    <w:pStyle w:val="null3"/>
                    <w:jc w:val="both"/>
                  </w:pPr>
                  <w:r>
                    <w:rPr>
                      <w:rFonts w:ascii="仿宋_GB2312" w:hAnsi="仿宋_GB2312" w:cs="仿宋_GB2312" w:eastAsia="仿宋_GB2312"/>
                      <w:sz w:val="19"/>
                    </w:rPr>
                    <w:t>（三）安全要求：进入采购人作业区现场的维修人员，承诺遵守并执行西安浐灞国际港安全生产管理规定，服从安全管理要求，严格遵守安全管理规程。</w:t>
                  </w:r>
                </w:p>
                <w:p>
                  <w:pPr>
                    <w:pStyle w:val="null3"/>
                    <w:jc w:val="both"/>
                  </w:pPr>
                  <w:r>
                    <w:rPr>
                      <w:rFonts w:ascii="仿宋_GB2312" w:hAnsi="仿宋_GB2312" w:cs="仿宋_GB2312" w:eastAsia="仿宋_GB2312"/>
                      <w:sz w:val="19"/>
                    </w:rPr>
                    <w:t>（四）人员要求</w:t>
                  </w:r>
                </w:p>
                <w:p>
                  <w:pPr>
                    <w:pStyle w:val="null3"/>
                    <w:jc w:val="both"/>
                  </w:pPr>
                  <w:r>
                    <w:rPr>
                      <w:rFonts w:ascii="仿宋_GB2312" w:hAnsi="仿宋_GB2312" w:cs="仿宋_GB2312" w:eastAsia="仿宋_GB2312"/>
                      <w:sz w:val="19"/>
                    </w:rPr>
                    <w:t>服务商维修服务人员应具备以下条件：</w:t>
                  </w:r>
                </w:p>
                <w:p>
                  <w:pPr>
                    <w:pStyle w:val="null3"/>
                    <w:jc w:val="both"/>
                  </w:pPr>
                  <w:r>
                    <w:rPr>
                      <w:rFonts w:ascii="仿宋_GB2312" w:hAnsi="仿宋_GB2312" w:cs="仿宋_GB2312" w:eastAsia="仿宋_GB2312"/>
                      <w:sz w:val="19"/>
                    </w:rPr>
                    <w:t>1、维修服务人员数量应能满足西安浐灞国际港车辆维修实际需要，根据维修量适时增减维修人员。</w:t>
                  </w:r>
                </w:p>
                <w:p>
                  <w:pPr>
                    <w:pStyle w:val="null3"/>
                    <w:jc w:val="both"/>
                  </w:pPr>
                  <w:r>
                    <w:rPr>
                      <w:rFonts w:ascii="仿宋_GB2312" w:hAnsi="仿宋_GB2312" w:cs="仿宋_GB2312" w:eastAsia="仿宋_GB2312"/>
                      <w:sz w:val="19"/>
                    </w:rPr>
                    <w:t>2、机修专业维修技工中，至少有1人具有5年以上车辆维修经验。</w:t>
                  </w:r>
                </w:p>
                <w:p>
                  <w:pPr>
                    <w:pStyle w:val="null3"/>
                    <w:jc w:val="both"/>
                  </w:pPr>
                  <w:r>
                    <w:rPr>
                      <w:rFonts w:ascii="仿宋_GB2312" w:hAnsi="仿宋_GB2312" w:cs="仿宋_GB2312" w:eastAsia="仿宋_GB2312"/>
                      <w:sz w:val="19"/>
                    </w:rPr>
                    <w:t>3、具有前述小轿车、大型车、商务汽车、越野汽车的专业维修设备，维修人员须具有维修技师资格证书。</w:t>
                  </w:r>
                </w:p>
                <w:p>
                  <w:pPr>
                    <w:pStyle w:val="null3"/>
                    <w:jc w:val="both"/>
                  </w:pPr>
                  <w:r>
                    <w:rPr>
                      <w:rFonts w:ascii="仿宋_GB2312" w:hAnsi="仿宋_GB2312" w:cs="仿宋_GB2312" w:eastAsia="仿宋_GB2312"/>
                      <w:sz w:val="19"/>
                    </w:rPr>
                    <w:t>五、商务要求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b/>
                    </w:rPr>
                    <w:t>本项目为固定</w:t>
                  </w:r>
                  <w:r>
                    <w:rPr>
                      <w:rFonts w:ascii="仿宋_GB2312" w:hAnsi="仿宋_GB2312" w:cs="仿宋_GB2312" w:eastAsia="仿宋_GB2312"/>
                      <w:sz w:val="19"/>
                      <w:b/>
                    </w:rPr>
                    <w:t>单价</w:t>
                  </w:r>
                  <w:r>
                    <w:rPr>
                      <w:rFonts w:ascii="仿宋_GB2312" w:hAnsi="仿宋_GB2312" w:cs="仿宋_GB2312" w:eastAsia="仿宋_GB2312"/>
                      <w:sz w:val="19"/>
                      <w:b/>
                    </w:rPr>
                    <w:t>合同，按照采购预算金额签订采购合同，暂定总价，具体数量据实结算。</w:t>
                  </w:r>
                </w:p>
                <w:p>
                  <w:pPr>
                    <w:pStyle w:val="null3"/>
                    <w:jc w:val="both"/>
                  </w:pPr>
                  <w:r>
                    <w:rPr>
                      <w:rFonts w:ascii="仿宋_GB2312" w:hAnsi="仿宋_GB2312" w:cs="仿宋_GB2312" w:eastAsia="仿宋_GB2312"/>
                      <w:sz w:val="19"/>
                    </w:rPr>
                    <w:t>2、服务期：自合同签订之日起1年。</w:t>
                  </w:r>
                </w:p>
                <w:p>
                  <w:pPr>
                    <w:pStyle w:val="null3"/>
                    <w:jc w:val="left"/>
                  </w:pPr>
                  <w:r>
                    <w:rPr>
                      <w:rFonts w:ascii="仿宋_GB2312" w:hAnsi="仿宋_GB2312" w:cs="仿宋_GB2312" w:eastAsia="仿宋_GB2312"/>
                      <w:sz w:val="19"/>
                      <w:b/>
                    </w:rPr>
                    <w:t>本项目维修标准单价，具体详见下表：供应商报价折扣率×标准单价=合同单价。</w:t>
                  </w:r>
                </w:p>
                <w:p>
                  <w:pPr>
                    <w:pStyle w:val="null3"/>
                    <w:jc w:val="left"/>
                  </w:pPr>
                  <w:r>
                    <w:rPr>
                      <w:rFonts w:ascii="仿宋_GB2312" w:hAnsi="仿宋_GB2312" w:cs="仿宋_GB2312" w:eastAsia="仿宋_GB2312"/>
                      <w:sz w:val="19"/>
                      <w:b/>
                    </w:rPr>
                    <w:t>（一）动力类型：燃油</w:t>
                  </w:r>
                </w:p>
                <w:p>
                  <w:pPr>
                    <w:pStyle w:val="null3"/>
                    <w:jc w:val="left"/>
                  </w:pPr>
                  <w:r>
                    <w:rPr>
                      <w:rFonts w:ascii="仿宋_GB2312" w:hAnsi="仿宋_GB2312" w:cs="仿宋_GB2312" w:eastAsia="仿宋_GB2312"/>
                      <w:sz w:val="19"/>
                    </w:rPr>
                    <w:t xml:space="preserve"> </w:t>
                  </w:r>
                </w:p>
                <w:tbl>
                  <w:tblPr>
                    <w:tblBorders>
                      <w:top w:val="none" w:color="000000" w:sz="4"/>
                      <w:left w:val="none" w:color="000000" w:sz="4"/>
                      <w:bottom w:val="none" w:color="000000" w:sz="4"/>
                      <w:right w:val="none" w:color="000000" w:sz="4"/>
                      <w:insideH w:val="none"/>
                      <w:insideV w:val="none"/>
                    </w:tblBorders>
                  </w:tblPr>
                  <w:tblGrid>
                    <w:gridCol w:w="69"/>
                    <w:gridCol w:w="166"/>
                    <w:gridCol w:w="77"/>
                    <w:gridCol w:w="114"/>
                    <w:gridCol w:w="94"/>
                    <w:gridCol w:w="114"/>
                    <w:gridCol w:w="94"/>
                    <w:gridCol w:w="114"/>
                    <w:gridCol w:w="94"/>
                    <w:gridCol w:w="114"/>
                    <w:gridCol w:w="110"/>
                    <w:gridCol w:w="114"/>
                    <w:gridCol w:w="116"/>
                    <w:gridCol w:w="114"/>
                    <w:gridCol w:w="108"/>
                    <w:gridCol w:w="114"/>
                    <w:gridCol w:w="110"/>
                    <w:gridCol w:w="114"/>
                    <w:gridCol w:w="108"/>
                    <w:gridCol w:w="114"/>
                    <w:gridCol w:w="112"/>
                  </w:tblGrid>
                  <w:tr>
                    <w:tc>
                      <w:tcPr>
                        <w:tcW w:type="dxa" w:w="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科目编号</w:t>
                        </w:r>
                      </w:p>
                    </w:tc>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车型</w:t>
                        </w:r>
                      </w:p>
                    </w:tc>
                    <w:tc>
                      <w:tcPr>
                        <w:tcW w:type="dxa" w:w="7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c>
                      <w:tcPr>
                        <w:tcW w:type="dxa" w:w="208"/>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比亚迪</w:t>
                        </w:r>
                      </w:p>
                    </w:tc>
                    <w:tc>
                      <w:tcPr>
                        <w:tcW w:type="dxa" w:w="208"/>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别克</w:t>
                        </w:r>
                      </w:p>
                    </w:tc>
                    <w:tc>
                      <w:tcPr>
                        <w:tcW w:type="dxa" w:w="208"/>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传祺</w:t>
                        </w:r>
                      </w:p>
                    </w:tc>
                    <w:tc>
                      <w:tcPr>
                        <w:tcW w:type="dxa" w:w="224"/>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大众捷达</w:t>
                        </w:r>
                      </w:p>
                    </w:tc>
                    <w:tc>
                      <w:tcPr>
                        <w:tcW w:type="dxa" w:w="230"/>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大众朗逸</w:t>
                        </w:r>
                      </w:p>
                    </w:tc>
                    <w:tc>
                      <w:tcPr>
                        <w:tcW w:type="dxa" w:w="222"/>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大众帕萨特</w:t>
                        </w:r>
                      </w:p>
                    </w:tc>
                    <w:tc>
                      <w:tcPr>
                        <w:tcW w:type="dxa" w:w="224"/>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哈弗H6</w:t>
                        </w:r>
                      </w:p>
                    </w:tc>
                    <w:tc>
                      <w:tcPr>
                        <w:tcW w:type="dxa" w:w="222"/>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哈佛H5</w:t>
                        </w:r>
                      </w:p>
                    </w:tc>
                    <w:tc>
                      <w:tcPr>
                        <w:tcW w:type="dxa" w:w="226"/>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吉利</w:t>
                        </w:r>
                      </w:p>
                    </w:tc>
                  </w:tr>
                  <w:tr>
                    <w:tc>
                      <w:tcPr>
                        <w:tcW w:type="dxa" w:w="69"/>
                        <w:vMerge/>
                        <w:tcBorders>
                          <w:top w:val="single" w:color="000000" w:sz="4"/>
                          <w:left w:val="single" w:color="000000" w:sz="4"/>
                          <w:bottom w:val="single" w:color="000000" w:sz="4"/>
                          <w:right w:val="single" w:color="000000" w:sz="4"/>
                        </w:tcBorders>
                      </w:tcPr>
                      <w:p/>
                    </w:tc>
                    <w:tc>
                      <w:tcPr>
                        <w:tcW w:type="dxa" w:w="166"/>
                        <w:vMerge/>
                        <w:tcBorders>
                          <w:top w:val="single" w:color="000000" w:sz="4"/>
                          <w:left w:val="single" w:color="000000" w:sz="4"/>
                          <w:bottom w:val="single" w:color="000000" w:sz="4"/>
                          <w:right w:val="single" w:color="000000" w:sz="4"/>
                        </w:tcBorders>
                      </w:tcPr>
                      <w:p/>
                    </w:tc>
                    <w:tc>
                      <w:tcPr>
                        <w:tcW w:type="dxa" w:w="77"/>
                        <w:vMerge/>
                        <w:tcBorders>
                          <w:top w:val="single" w:color="000000" w:sz="4"/>
                          <w:left w:val="single" w:color="000000" w:sz="4"/>
                          <w:bottom w:val="single" w:color="000000" w:sz="4"/>
                          <w:right w:val="single" w:color="000000" w:sz="4"/>
                        </w:tcBorders>
                      </w:tcPr>
                      <w:p/>
                    </w:tc>
                  </w:tr>
                  <w:tr>
                    <w:tc>
                      <w:tcPr>
                        <w:tcW w:type="dxa" w:w="69"/>
                        <w:vMerge/>
                        <w:tcBorders>
                          <w:top w:val="single" w:color="000000" w:sz="4"/>
                          <w:left w:val="single" w:color="000000" w:sz="4"/>
                          <w:bottom w:val="single" w:color="000000" w:sz="4"/>
                          <w:right w:val="single" w:color="000000" w:sz="4"/>
                        </w:tcBorders>
                      </w:tc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动力类型</w:t>
                        </w:r>
                      </w:p>
                    </w:tc>
                    <w:tc>
                      <w:tcPr>
                        <w:tcW w:type="dxa" w:w="77"/>
                        <w:vMerge/>
                        <w:tcBorders>
                          <w:top w:val="single" w:color="000000" w:sz="4"/>
                          <w:left w:val="single" w:color="000000" w:sz="4"/>
                          <w:bottom w:val="single" w:color="000000" w:sz="4"/>
                          <w:right w:val="single" w:color="000000" w:sz="4"/>
                        </w:tcBorders>
                      </w:tcPr>
                      <w:p/>
                    </w:tc>
                    <w:tc>
                      <w:tcPr>
                        <w:tcW w:type="dxa" w:w="2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r>
                  <w:tr>
                    <w:tc>
                      <w:tcPr>
                        <w:tcW w:type="dxa" w:w="69"/>
                        <w:vMerge/>
                        <w:tcBorders>
                          <w:top w:val="single" w:color="000000" w:sz="4"/>
                          <w:left w:val="single" w:color="000000" w:sz="4"/>
                          <w:bottom w:val="single" w:color="000000" w:sz="4"/>
                          <w:right w:val="single" w:color="000000" w:sz="4"/>
                        </w:tcBorders>
                      </w:tc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w:t>
                        </w:r>
                      </w:p>
                    </w:tc>
                    <w:tc>
                      <w:tcPr>
                        <w:tcW w:type="dxa" w:w="77"/>
                        <w:vMerge/>
                        <w:tcBorders>
                          <w:top w:val="single" w:color="000000" w:sz="4"/>
                          <w:left w:val="single" w:color="000000" w:sz="4"/>
                          <w:bottom w:val="single" w:color="000000" w:sz="4"/>
                          <w:right w:val="single" w:color="000000" w:sz="4"/>
                        </w:tcBorders>
                      </w:tcP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机油4L</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机油滤芯</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空气滤芯</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空调滤芯</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汽油滤芯</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变速箱油4L</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DOT4刹车油</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方向助力油</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火花塞</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点火线圈</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前刹车片</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后刹车片</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前刹车盘</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后刹车盘</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冷媒油</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前减震器</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后减震器</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bl>
                <w:p>
                  <w:pPr>
                    <w:pStyle w:val="null3"/>
                    <w:jc w:val="left"/>
                  </w:pPr>
                  <w:r>
                    <w:rPr>
                      <w:rFonts w:ascii="仿宋_GB2312" w:hAnsi="仿宋_GB2312" w:cs="仿宋_GB2312" w:eastAsia="仿宋_GB2312"/>
                      <w:sz w:val="19"/>
                    </w:rPr>
                    <w:t xml:space="preserve"> </w:t>
                  </w:r>
                </w:p>
                <w:tbl>
                  <w:tblPr>
                    <w:tblBorders>
                      <w:top w:val="none" w:color="000000" w:sz="4"/>
                      <w:left w:val="none" w:color="000000" w:sz="4"/>
                      <w:bottom w:val="none" w:color="000000" w:sz="4"/>
                      <w:right w:val="none" w:color="000000" w:sz="4"/>
                      <w:insideH w:val="none"/>
                      <w:insideV w:val="none"/>
                    </w:tblBorders>
                  </w:tblPr>
                  <w:tblGrid>
                    <w:gridCol w:w="62"/>
                    <w:gridCol w:w="169"/>
                    <w:gridCol w:w="78"/>
                    <w:gridCol w:w="117"/>
                    <w:gridCol w:w="76"/>
                    <w:gridCol w:w="117"/>
                    <w:gridCol w:w="84"/>
                    <w:gridCol w:w="117"/>
                    <w:gridCol w:w="76"/>
                    <w:gridCol w:w="117"/>
                    <w:gridCol w:w="86"/>
                    <w:gridCol w:w="117"/>
                    <w:gridCol w:w="88"/>
                    <w:gridCol w:w="117"/>
                    <w:gridCol w:w="86"/>
                    <w:gridCol w:w="117"/>
                    <w:gridCol w:w="76"/>
                    <w:gridCol w:w="117"/>
                    <w:gridCol w:w="80"/>
                    <w:gridCol w:w="117"/>
                    <w:gridCol w:w="76"/>
                    <w:gridCol w:w="117"/>
                    <w:gridCol w:w="76"/>
                  </w:tblGrid>
                  <w:tr>
                    <w:tc>
                      <w:tcPr>
                        <w:tcW w:type="dxa" w:w="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科目编号</w:t>
                        </w:r>
                      </w:p>
                    </w:tc>
                    <w:tc>
                      <w:tcPr>
                        <w:tcW w:type="dxa" w:w="1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车型</w:t>
                        </w:r>
                      </w:p>
                    </w:tc>
                    <w:tc>
                      <w:tcPr>
                        <w:tcW w:type="dxa" w:w="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c>
                      <w:tcPr>
                        <w:tcW w:type="dxa" w:w="19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江铃</w:t>
                        </w:r>
                      </w:p>
                    </w:tc>
                    <w:tc>
                      <w:tcPr>
                        <w:tcW w:type="dxa" w:w="201"/>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金杯F50</w:t>
                        </w:r>
                      </w:p>
                    </w:tc>
                    <w:tc>
                      <w:tcPr>
                        <w:tcW w:type="dxa" w:w="19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金杯阁瑞斯</w:t>
                        </w:r>
                      </w:p>
                    </w:tc>
                    <w:tc>
                      <w:tcPr>
                        <w:tcW w:type="dxa" w:w="20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柯斯达</w:t>
                        </w:r>
                      </w:p>
                    </w:tc>
                    <w:tc>
                      <w:tcPr>
                        <w:tcW w:type="dxa" w:w="205"/>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奇骏</w:t>
                        </w:r>
                      </w:p>
                    </w:tc>
                    <w:tc>
                      <w:tcPr>
                        <w:tcW w:type="dxa" w:w="20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荣威</w:t>
                        </w:r>
                      </w:p>
                    </w:tc>
                    <w:tc>
                      <w:tcPr>
                        <w:tcW w:type="dxa" w:w="19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五菱</w:t>
                        </w:r>
                      </w:p>
                    </w:tc>
                    <w:tc>
                      <w:tcPr>
                        <w:tcW w:type="dxa" w:w="197"/>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依维柯</w:t>
                        </w:r>
                      </w:p>
                    </w:tc>
                    <w:tc>
                      <w:tcPr>
                        <w:tcW w:type="dxa" w:w="19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宇通</w:t>
                        </w:r>
                      </w:p>
                    </w:tc>
                    <w:tc>
                      <w:tcPr>
                        <w:tcW w:type="dxa" w:w="19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中联</w:t>
                        </w:r>
                      </w:p>
                    </w:tc>
                  </w:tr>
                  <w:tr>
                    <w:tc>
                      <w:tcPr>
                        <w:tcW w:type="dxa" w:w="62"/>
                        <w:vMerge/>
                        <w:tcBorders>
                          <w:top w:val="single" w:color="000000" w:sz="4"/>
                          <w:left w:val="single" w:color="000000" w:sz="4"/>
                          <w:bottom w:val="single" w:color="000000" w:sz="4"/>
                          <w:right w:val="single" w:color="000000" w:sz="4"/>
                        </w:tcBorders>
                      </w:tcPr>
                      <w:p/>
                    </w:tc>
                    <w:tc>
                      <w:tcPr>
                        <w:tcW w:type="dxa" w:w="169"/>
                        <w:vMerge/>
                        <w:tcBorders>
                          <w:top w:val="single" w:color="000000" w:sz="4"/>
                          <w:left w:val="single" w:color="000000" w:sz="4"/>
                          <w:bottom w:val="single" w:color="000000" w:sz="4"/>
                          <w:right w:val="single" w:color="000000" w:sz="4"/>
                        </w:tcBorders>
                      </w:tcPr>
                      <w:p/>
                    </w:tc>
                    <w:tc>
                      <w:tcPr>
                        <w:tcW w:type="dxa" w:w="78"/>
                        <w:vMerge/>
                        <w:tcBorders>
                          <w:top w:val="single" w:color="000000" w:sz="4"/>
                          <w:left w:val="single" w:color="000000" w:sz="4"/>
                          <w:bottom w:val="single" w:color="000000" w:sz="4"/>
                          <w:right w:val="single" w:color="000000" w:sz="4"/>
                        </w:tcBorders>
                      </w:tcPr>
                      <w:p/>
                    </w:tc>
                  </w:tr>
                  <w:tr>
                    <w:tc>
                      <w:tcPr>
                        <w:tcW w:type="dxa" w:w="62"/>
                        <w:vMerge/>
                        <w:tcBorders>
                          <w:top w:val="single" w:color="000000" w:sz="4"/>
                          <w:left w:val="single" w:color="000000" w:sz="4"/>
                          <w:bottom w:val="single" w:color="000000" w:sz="4"/>
                          <w:right w:val="single" w:color="000000" w:sz="4"/>
                        </w:tcBorders>
                      </w:tcP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动力类型</w:t>
                        </w:r>
                      </w:p>
                    </w:tc>
                    <w:tc>
                      <w:tcPr>
                        <w:tcW w:type="dxa" w:w="78"/>
                        <w:vMerge/>
                        <w:tcBorders>
                          <w:top w:val="single" w:color="000000" w:sz="4"/>
                          <w:left w:val="single" w:color="000000" w:sz="4"/>
                          <w:bottom w:val="single" w:color="000000" w:sz="4"/>
                          <w:right w:val="single" w:color="000000" w:sz="4"/>
                        </w:tcBorders>
                      </w:tcPr>
                      <w:p/>
                    </w:tc>
                    <w:tc>
                      <w:tcPr>
                        <w:tcW w:type="dxa" w:w="1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1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1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1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燃油（柴油）</w:t>
                        </w:r>
                      </w:p>
                    </w:tc>
                    <w:tc>
                      <w:tcPr>
                        <w:tcW w:type="dxa" w:w="1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1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r>
                  <w:tr>
                    <w:tc>
                      <w:tcPr>
                        <w:tcW w:type="dxa" w:w="62"/>
                        <w:vMerge/>
                        <w:tcBorders>
                          <w:top w:val="single" w:color="000000" w:sz="4"/>
                          <w:left w:val="single" w:color="000000" w:sz="4"/>
                          <w:bottom w:val="single" w:color="000000" w:sz="4"/>
                          <w:right w:val="single" w:color="000000" w:sz="4"/>
                        </w:tcBorders>
                      </w:tcP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w:t>
                        </w:r>
                      </w:p>
                    </w:tc>
                    <w:tc>
                      <w:tcPr>
                        <w:tcW w:type="dxa" w:w="78"/>
                        <w:vMerge/>
                        <w:tcBorders>
                          <w:top w:val="single" w:color="000000" w:sz="4"/>
                          <w:left w:val="single" w:color="000000" w:sz="4"/>
                          <w:bottom w:val="single" w:color="000000" w:sz="4"/>
                          <w:right w:val="single" w:color="000000" w:sz="4"/>
                        </w:tcBorders>
                      </w:tcP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w:t>
                        </w:r>
                      </w:p>
                      <w:p>
                        <w:pPr>
                          <w:pStyle w:val="null3"/>
                          <w:jc w:val="center"/>
                        </w:pPr>
                        <w:r>
                          <w:rPr>
                            <w:rFonts w:ascii="仿宋_GB2312" w:hAnsi="仿宋_GB2312" w:cs="仿宋_GB2312" w:eastAsia="仿宋_GB2312"/>
                            <w:sz w:val="19"/>
                            <w:color w:val="000000"/>
                          </w:rPr>
                          <w:t>(元/小时)</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机油4L</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机油滤芯</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空气滤芯</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空调滤芯</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汽油滤芯</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变速箱油4L</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DOT4刹车油</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方向助力油</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火花塞</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点火线圈</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480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前刹车片</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后刹车片</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前刹车盘</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600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后刹车盘</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冷媒油</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前减震器</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后减震器</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bl>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b/>
                    </w:rPr>
                    <w:t>（二）动力类型：新能源</w:t>
                  </w:r>
                </w:p>
                <w:tbl>
                  <w:tblPr>
                    <w:tblBorders>
                      <w:top w:val="none" w:color="000000" w:sz="4"/>
                      <w:left w:val="none" w:color="000000" w:sz="4"/>
                      <w:bottom w:val="none" w:color="000000" w:sz="4"/>
                      <w:right w:val="none" w:color="000000" w:sz="4"/>
                      <w:insideH w:val="none"/>
                      <w:insideV w:val="none"/>
                    </w:tblBorders>
                  </w:tblPr>
                  <w:tblGrid>
                    <w:gridCol w:w="198"/>
                    <w:gridCol w:w="362"/>
                    <w:gridCol w:w="198"/>
                    <w:gridCol w:w="387"/>
                    <w:gridCol w:w="387"/>
                    <w:gridCol w:w="387"/>
                    <w:gridCol w:w="387"/>
                  </w:tblGrid>
                  <w:tr>
                    <w:tc>
                      <w:tcPr>
                        <w:tcW w:type="dxa" w:w="1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科目编号</w:t>
                        </w:r>
                      </w:p>
                    </w:tc>
                    <w:tc>
                      <w:tcPr>
                        <w:tcW w:type="dxa" w:w="3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车型</w:t>
                        </w:r>
                      </w:p>
                    </w:tc>
                    <w:tc>
                      <w:tcPr>
                        <w:tcW w:type="dxa" w:w="1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c>
                      <w:tcPr>
                        <w:tcW w:type="dxa" w:w="774"/>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比亚迪</w:t>
                        </w:r>
                      </w:p>
                    </w:tc>
                    <w:tc>
                      <w:tcPr>
                        <w:tcW w:type="dxa" w:w="774"/>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吉利</w:t>
                        </w:r>
                      </w:p>
                    </w:tc>
                  </w:tr>
                  <w:tr>
                    <w:tc>
                      <w:tcPr>
                        <w:tcW w:type="dxa" w:w="198"/>
                        <w:vMerge/>
                        <w:tcBorders>
                          <w:top w:val="single" w:color="000000" w:sz="4"/>
                          <w:left w:val="single" w:color="000000" w:sz="4"/>
                          <w:bottom w:val="single" w:color="000000" w:sz="4"/>
                          <w:right w:val="single" w:color="000000" w:sz="4"/>
                        </w:tcBorders>
                      </w:tcPr>
                      <w:p/>
                    </w:tc>
                    <w:tc>
                      <w:tcPr>
                        <w:tcW w:type="dxa" w:w="362"/>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r>
                  <w:tr>
                    <w:tc>
                      <w:tcPr>
                        <w:tcW w:type="dxa" w:w="198"/>
                        <w:vMerge/>
                        <w:tcBorders>
                          <w:top w:val="single" w:color="000000" w:sz="4"/>
                          <w:left w:val="single" w:color="000000" w:sz="4"/>
                          <w:bottom w:val="single" w:color="000000" w:sz="4"/>
                          <w:right w:val="single" w:color="000000" w:sz="4"/>
                        </w:tcBorders>
                      </w:tcP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动力类型</w:t>
                        </w:r>
                      </w:p>
                    </w:tc>
                    <w:tc>
                      <w:tcPr>
                        <w:tcW w:type="dxa" w:w="198"/>
                        <w:vMerge/>
                        <w:tcBorders>
                          <w:top w:val="single" w:color="000000" w:sz="4"/>
                          <w:left w:val="single" w:color="000000" w:sz="4"/>
                          <w:bottom w:val="single" w:color="000000" w:sz="4"/>
                          <w:right w:val="single" w:color="000000" w:sz="4"/>
                        </w:tcBorders>
                      </w:tcPr>
                      <w:p/>
                    </w:tc>
                    <w:tc>
                      <w:tcPr>
                        <w:tcW w:type="dxa" w:w="7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新能源</w:t>
                        </w:r>
                      </w:p>
                    </w:tc>
                    <w:tc>
                      <w:tcPr>
                        <w:tcW w:type="dxa" w:w="7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新能源</w:t>
                        </w:r>
                      </w:p>
                    </w:tc>
                  </w:tr>
                  <w:tr>
                    <w:tc>
                      <w:tcPr>
                        <w:tcW w:type="dxa" w:w="198"/>
                        <w:vMerge/>
                        <w:tcBorders>
                          <w:top w:val="single" w:color="000000" w:sz="4"/>
                          <w:left w:val="single" w:color="000000" w:sz="4"/>
                          <w:bottom w:val="single" w:color="000000" w:sz="4"/>
                          <w:right w:val="single" w:color="000000" w:sz="4"/>
                        </w:tcBorders>
                      </w:tcP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w:t>
                        </w:r>
                      </w:p>
                    </w:tc>
                    <w:tc>
                      <w:tcPr>
                        <w:tcW w:type="dxa" w:w="198"/>
                        <w:vMerge/>
                        <w:tcBorders>
                          <w:top w:val="single" w:color="000000" w:sz="4"/>
                          <w:left w:val="single" w:color="000000" w:sz="4"/>
                          <w:bottom w:val="single" w:color="000000" w:sz="4"/>
                          <w:right w:val="single" w:color="000000" w:sz="4"/>
                        </w:tcBorders>
                      </w:tcP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材料费（元）</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w:t>
                        </w:r>
                        <w:r>
                          <w:rPr>
                            <w:rFonts w:ascii="仿宋_GB2312" w:hAnsi="仿宋_GB2312" w:cs="仿宋_GB2312" w:eastAsia="仿宋_GB2312"/>
                            <w:sz w:val="19"/>
                            <w:color w:val="000000"/>
                          </w:rPr>
                          <w:t>(元/小时)</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材料费（元）</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w:t>
                        </w:r>
                        <w:r>
                          <w:rPr>
                            <w:rFonts w:ascii="仿宋_GB2312" w:hAnsi="仿宋_GB2312" w:cs="仿宋_GB2312" w:eastAsia="仿宋_GB2312"/>
                            <w:sz w:val="19"/>
                            <w:color w:val="000000"/>
                          </w:rPr>
                          <w:t>(元/小时)</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机油4L</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机油滤芯</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空气滤芯</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空调滤芯</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汽油滤芯</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变速箱油4L</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DOT4刹车油</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方向助力油</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火花塞</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点火线圈</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前刹车片</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后刹车片</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前刹车盘</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后刹车盘</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冷媒油</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前减震器</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后减震器</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bl>
                <w:p>
                  <w:pPr>
                    <w:pStyle w:val="null3"/>
                    <w:jc w:val="left"/>
                  </w:pPr>
                  <w:r>
                    <w:rPr>
                      <w:rFonts w:ascii="仿宋_GB2312" w:hAnsi="仿宋_GB2312" w:cs="仿宋_GB2312" w:eastAsia="仿宋_GB2312"/>
                      <w:sz w:val="19"/>
                    </w:rPr>
                    <w:t xml:space="preserve">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标的名称：公车维修服务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062"/>
            </w:tblGrid>
            <w:tr>
              <w:tc>
                <w:tcPr>
                  <w:tcW w:type="dxa" w:w="2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西安浐灞国际港公务车辆维修服务，车辆均为公务车辆，其车辆品牌包括：比亚迪、别克、传祺、大众、帝豪、哈弗、吉利、江铃、金杯、柯斯达、奇骏、荣威、五菱、依维柯、宇通、中联等。</w:t>
                  </w:r>
                </w:p>
                <w:p>
                  <w:pPr>
                    <w:pStyle w:val="null3"/>
                    <w:jc w:val="both"/>
                  </w:pPr>
                  <w:r>
                    <w:rPr>
                      <w:rFonts w:ascii="仿宋_GB2312" w:hAnsi="仿宋_GB2312" w:cs="仿宋_GB2312" w:eastAsia="仿宋_GB2312"/>
                      <w:sz w:val="19"/>
                    </w:rPr>
                    <w:t>具体车型及维修维护数量以实际发生为准。</w:t>
                  </w:r>
                </w:p>
                <w:p>
                  <w:pPr>
                    <w:pStyle w:val="null3"/>
                    <w:jc w:val="both"/>
                  </w:pPr>
                  <w:r>
                    <w:rPr>
                      <w:rFonts w:ascii="仿宋_GB2312" w:hAnsi="仿宋_GB2312" w:cs="仿宋_GB2312" w:eastAsia="仿宋_GB2312"/>
                      <w:sz w:val="19"/>
                    </w:rPr>
                    <w:t>二、服务内容</w:t>
                  </w:r>
                </w:p>
                <w:p>
                  <w:pPr>
                    <w:pStyle w:val="null3"/>
                    <w:jc w:val="both"/>
                  </w:pPr>
                  <w:r>
                    <w:rPr>
                      <w:rFonts w:ascii="仿宋_GB2312" w:hAnsi="仿宋_GB2312" w:cs="仿宋_GB2312" w:eastAsia="仿宋_GB2312"/>
                      <w:sz w:val="19"/>
                    </w:rPr>
                    <w:t>（一）故障维修：包括车辆及设备大修、中小修故障的专项维修，结合现场实际情况，对车辆配件、设备配件进行修复和更换，保证车辆安全平稳运行。</w:t>
                  </w:r>
                </w:p>
                <w:p>
                  <w:pPr>
                    <w:pStyle w:val="null3"/>
                    <w:jc w:val="both"/>
                  </w:pPr>
                  <w:r>
                    <w:rPr>
                      <w:rFonts w:ascii="仿宋_GB2312" w:hAnsi="仿宋_GB2312" w:cs="仿宋_GB2312" w:eastAsia="仿宋_GB2312"/>
                      <w:sz w:val="19"/>
                    </w:rPr>
                    <w:t>（二）维护保养：正常保养按照车辆行驶每5000公里保养一次，其他维护项目根据车辆检查的实际情况，确定维护项目。</w:t>
                  </w:r>
                </w:p>
                <w:p>
                  <w:pPr>
                    <w:pStyle w:val="null3"/>
                    <w:jc w:val="both"/>
                  </w:pPr>
                  <w:r>
                    <w:rPr>
                      <w:rFonts w:ascii="仿宋_GB2312" w:hAnsi="仿宋_GB2312" w:cs="仿宋_GB2312" w:eastAsia="仿宋_GB2312"/>
                      <w:sz w:val="19"/>
                    </w:rPr>
                    <w:t>（三）现场救援：包括路途中救援以及作业现场救援。</w:t>
                  </w:r>
                </w:p>
                <w:p>
                  <w:pPr>
                    <w:pStyle w:val="null3"/>
                    <w:jc w:val="both"/>
                  </w:pPr>
                  <w:r>
                    <w:rPr>
                      <w:rFonts w:ascii="仿宋_GB2312" w:hAnsi="仿宋_GB2312" w:cs="仿宋_GB2312" w:eastAsia="仿宋_GB2312"/>
                      <w:sz w:val="19"/>
                    </w:rPr>
                    <w:t>三、服务方式</w:t>
                  </w:r>
                </w:p>
                <w:p>
                  <w:pPr>
                    <w:pStyle w:val="null3"/>
                    <w:jc w:val="both"/>
                  </w:pPr>
                  <w:r>
                    <w:rPr>
                      <w:rFonts w:ascii="仿宋_GB2312" w:hAnsi="仿宋_GB2312" w:cs="仿宋_GB2312" w:eastAsia="仿宋_GB2312"/>
                      <w:sz w:val="19"/>
                    </w:rPr>
                    <w:t>现场维修或到厂维修。</w:t>
                  </w:r>
                </w:p>
                <w:p>
                  <w:pPr>
                    <w:pStyle w:val="null3"/>
                    <w:jc w:val="both"/>
                  </w:pPr>
                  <w:r>
                    <w:rPr>
                      <w:rFonts w:ascii="仿宋_GB2312" w:hAnsi="仿宋_GB2312" w:cs="仿宋_GB2312" w:eastAsia="仿宋_GB2312"/>
                      <w:sz w:val="19"/>
                    </w:rPr>
                    <w:t>四、服务要求</w:t>
                  </w:r>
                </w:p>
                <w:p>
                  <w:pPr>
                    <w:pStyle w:val="null3"/>
                    <w:jc w:val="both"/>
                  </w:pPr>
                  <w:r>
                    <w:rPr>
                      <w:rFonts w:ascii="仿宋_GB2312" w:hAnsi="仿宋_GB2312" w:cs="仿宋_GB2312" w:eastAsia="仿宋_GB2312"/>
                      <w:sz w:val="19"/>
                    </w:rPr>
                    <w:t>（一）质量要求：维修配件须是原厂配件并保证质量。维修维护后，要求整车清洁，汽车外表、三滤应清洁，车身面漆、腻子无脱落现象，补漆颜色应与原色一致；发动机、变速箱、转向器、减速器润滑符合规定；全车无油水气泄露，密封良好，电器装置可靠，绝缘良好，灯光仪表信号灯完好。</w:t>
                  </w:r>
                </w:p>
                <w:p>
                  <w:pPr>
                    <w:pStyle w:val="null3"/>
                    <w:jc w:val="both"/>
                  </w:pPr>
                  <w:r>
                    <w:rPr>
                      <w:rFonts w:ascii="仿宋_GB2312" w:hAnsi="仿宋_GB2312" w:cs="仿宋_GB2312" w:eastAsia="仿宋_GB2312"/>
                      <w:sz w:val="19"/>
                    </w:rPr>
                    <w:t>（二）时限要求：提供24小时故障救援服务，市内必须在30分钟内到达。小修车辆随到随修，大修车辆在三天内完成，不能影响业务用车需求。</w:t>
                  </w:r>
                </w:p>
                <w:p>
                  <w:pPr>
                    <w:pStyle w:val="null3"/>
                    <w:jc w:val="both"/>
                  </w:pPr>
                  <w:r>
                    <w:rPr>
                      <w:rFonts w:ascii="仿宋_GB2312" w:hAnsi="仿宋_GB2312" w:cs="仿宋_GB2312" w:eastAsia="仿宋_GB2312"/>
                      <w:sz w:val="19"/>
                    </w:rPr>
                    <w:t>（三）安全要求：进入采购人作业区现场的维修人员，承诺遵守并执行西安浐灞国际港安全生产管理规定，服从安全管理要求，严格遵守安全管理规程。</w:t>
                  </w:r>
                </w:p>
                <w:p>
                  <w:pPr>
                    <w:pStyle w:val="null3"/>
                    <w:jc w:val="both"/>
                  </w:pPr>
                  <w:r>
                    <w:rPr>
                      <w:rFonts w:ascii="仿宋_GB2312" w:hAnsi="仿宋_GB2312" w:cs="仿宋_GB2312" w:eastAsia="仿宋_GB2312"/>
                      <w:sz w:val="19"/>
                    </w:rPr>
                    <w:t>（四）人员要求</w:t>
                  </w:r>
                </w:p>
                <w:p>
                  <w:pPr>
                    <w:pStyle w:val="null3"/>
                    <w:jc w:val="both"/>
                  </w:pPr>
                  <w:r>
                    <w:rPr>
                      <w:rFonts w:ascii="仿宋_GB2312" w:hAnsi="仿宋_GB2312" w:cs="仿宋_GB2312" w:eastAsia="仿宋_GB2312"/>
                      <w:sz w:val="19"/>
                    </w:rPr>
                    <w:t>服务商维修服务人员应具备以下条件：</w:t>
                  </w:r>
                </w:p>
                <w:p>
                  <w:pPr>
                    <w:pStyle w:val="null3"/>
                    <w:jc w:val="both"/>
                  </w:pPr>
                  <w:r>
                    <w:rPr>
                      <w:rFonts w:ascii="仿宋_GB2312" w:hAnsi="仿宋_GB2312" w:cs="仿宋_GB2312" w:eastAsia="仿宋_GB2312"/>
                      <w:sz w:val="19"/>
                    </w:rPr>
                    <w:t>1、维修服务人员数量应能满足西安浐灞国际港车辆维修实际需要，根据维修量适时增减维修人员。</w:t>
                  </w:r>
                </w:p>
                <w:p>
                  <w:pPr>
                    <w:pStyle w:val="null3"/>
                    <w:jc w:val="both"/>
                  </w:pPr>
                  <w:r>
                    <w:rPr>
                      <w:rFonts w:ascii="仿宋_GB2312" w:hAnsi="仿宋_GB2312" w:cs="仿宋_GB2312" w:eastAsia="仿宋_GB2312"/>
                      <w:sz w:val="19"/>
                    </w:rPr>
                    <w:t>2、机修专业维修技工中，至少有1人具有5年以上车辆维修经验。</w:t>
                  </w:r>
                </w:p>
                <w:p>
                  <w:pPr>
                    <w:pStyle w:val="null3"/>
                    <w:jc w:val="both"/>
                  </w:pPr>
                  <w:r>
                    <w:rPr>
                      <w:rFonts w:ascii="仿宋_GB2312" w:hAnsi="仿宋_GB2312" w:cs="仿宋_GB2312" w:eastAsia="仿宋_GB2312"/>
                      <w:sz w:val="19"/>
                    </w:rPr>
                    <w:t>3、具有前述小轿车、大型车、商务汽车、越野汽车的专业维修设备，维修人员须具有维修技师资格证书。</w:t>
                  </w:r>
                </w:p>
                <w:p>
                  <w:pPr>
                    <w:pStyle w:val="null3"/>
                    <w:jc w:val="both"/>
                  </w:pPr>
                  <w:r>
                    <w:rPr>
                      <w:rFonts w:ascii="仿宋_GB2312" w:hAnsi="仿宋_GB2312" w:cs="仿宋_GB2312" w:eastAsia="仿宋_GB2312"/>
                      <w:sz w:val="19"/>
                    </w:rPr>
                    <w:t>五、商务要求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b/>
                    </w:rPr>
                    <w:t>本项目为固定单价合同，按照采购预算金额签订采购合同，暂定总价，具体数量据实结算。</w:t>
                  </w:r>
                </w:p>
                <w:p>
                  <w:pPr>
                    <w:pStyle w:val="null3"/>
                    <w:jc w:val="both"/>
                  </w:pPr>
                  <w:r>
                    <w:rPr>
                      <w:rFonts w:ascii="仿宋_GB2312" w:hAnsi="仿宋_GB2312" w:cs="仿宋_GB2312" w:eastAsia="仿宋_GB2312"/>
                      <w:sz w:val="19"/>
                    </w:rPr>
                    <w:t>2、服务期：自合同签订之日起1年。</w:t>
                  </w:r>
                </w:p>
                <w:p>
                  <w:pPr>
                    <w:pStyle w:val="null3"/>
                    <w:jc w:val="left"/>
                  </w:pPr>
                  <w:r>
                    <w:rPr>
                      <w:rFonts w:ascii="仿宋_GB2312" w:hAnsi="仿宋_GB2312" w:cs="仿宋_GB2312" w:eastAsia="仿宋_GB2312"/>
                      <w:sz w:val="19"/>
                      <w:b/>
                    </w:rPr>
                    <w:t>本项目维修标准单价，具体详见下表：供应商报价折扣率×标准单价=合同单价。</w:t>
                  </w:r>
                </w:p>
                <w:p>
                  <w:pPr>
                    <w:pStyle w:val="null3"/>
                    <w:jc w:val="left"/>
                  </w:pPr>
                  <w:r>
                    <w:rPr>
                      <w:rFonts w:ascii="仿宋_GB2312" w:hAnsi="仿宋_GB2312" w:cs="仿宋_GB2312" w:eastAsia="仿宋_GB2312"/>
                      <w:sz w:val="19"/>
                      <w:b/>
                    </w:rPr>
                    <w:t>（一）动力类型：燃油</w:t>
                  </w:r>
                </w:p>
                <w:p>
                  <w:pPr>
                    <w:pStyle w:val="null3"/>
                    <w:jc w:val="left"/>
                  </w:pPr>
                  <w:r>
                    <w:rPr>
                      <w:rFonts w:ascii="仿宋_GB2312" w:hAnsi="仿宋_GB2312" w:cs="仿宋_GB2312" w:eastAsia="仿宋_GB2312"/>
                      <w:sz w:val="19"/>
                    </w:rPr>
                    <w:t xml:space="preserve"> </w:t>
                  </w:r>
                </w:p>
                <w:tbl>
                  <w:tblPr>
                    <w:tblBorders>
                      <w:top w:val="none" w:color="000000" w:sz="4"/>
                      <w:left w:val="none" w:color="000000" w:sz="4"/>
                      <w:bottom w:val="none" w:color="000000" w:sz="4"/>
                      <w:right w:val="none" w:color="000000" w:sz="4"/>
                      <w:insideH w:val="none"/>
                      <w:insideV w:val="none"/>
                    </w:tblBorders>
                  </w:tblPr>
                  <w:tblGrid>
                    <w:gridCol w:w="69"/>
                    <w:gridCol w:w="166"/>
                    <w:gridCol w:w="77"/>
                    <w:gridCol w:w="114"/>
                    <w:gridCol w:w="94"/>
                    <w:gridCol w:w="114"/>
                    <w:gridCol w:w="94"/>
                    <w:gridCol w:w="114"/>
                    <w:gridCol w:w="94"/>
                    <w:gridCol w:w="114"/>
                    <w:gridCol w:w="110"/>
                    <w:gridCol w:w="114"/>
                    <w:gridCol w:w="116"/>
                    <w:gridCol w:w="114"/>
                    <w:gridCol w:w="108"/>
                    <w:gridCol w:w="114"/>
                    <w:gridCol w:w="110"/>
                    <w:gridCol w:w="114"/>
                    <w:gridCol w:w="108"/>
                    <w:gridCol w:w="114"/>
                    <w:gridCol w:w="112"/>
                  </w:tblGrid>
                  <w:tr>
                    <w:tc>
                      <w:tcPr>
                        <w:tcW w:type="dxa" w:w="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科目编号</w:t>
                        </w:r>
                      </w:p>
                    </w:tc>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车型</w:t>
                        </w:r>
                      </w:p>
                    </w:tc>
                    <w:tc>
                      <w:tcPr>
                        <w:tcW w:type="dxa" w:w="7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c>
                      <w:tcPr>
                        <w:tcW w:type="dxa" w:w="208"/>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比亚迪</w:t>
                        </w:r>
                      </w:p>
                    </w:tc>
                    <w:tc>
                      <w:tcPr>
                        <w:tcW w:type="dxa" w:w="208"/>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别克</w:t>
                        </w:r>
                      </w:p>
                    </w:tc>
                    <w:tc>
                      <w:tcPr>
                        <w:tcW w:type="dxa" w:w="208"/>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传祺</w:t>
                        </w:r>
                      </w:p>
                    </w:tc>
                    <w:tc>
                      <w:tcPr>
                        <w:tcW w:type="dxa" w:w="224"/>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大众捷达</w:t>
                        </w:r>
                      </w:p>
                    </w:tc>
                    <w:tc>
                      <w:tcPr>
                        <w:tcW w:type="dxa" w:w="230"/>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大众朗逸</w:t>
                        </w:r>
                      </w:p>
                    </w:tc>
                    <w:tc>
                      <w:tcPr>
                        <w:tcW w:type="dxa" w:w="222"/>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大众帕萨特</w:t>
                        </w:r>
                      </w:p>
                    </w:tc>
                    <w:tc>
                      <w:tcPr>
                        <w:tcW w:type="dxa" w:w="224"/>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哈弗H6</w:t>
                        </w:r>
                      </w:p>
                    </w:tc>
                    <w:tc>
                      <w:tcPr>
                        <w:tcW w:type="dxa" w:w="222"/>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哈佛H5</w:t>
                        </w:r>
                      </w:p>
                    </w:tc>
                    <w:tc>
                      <w:tcPr>
                        <w:tcW w:type="dxa" w:w="226"/>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吉利</w:t>
                        </w:r>
                      </w:p>
                    </w:tc>
                  </w:tr>
                  <w:tr>
                    <w:tc>
                      <w:tcPr>
                        <w:tcW w:type="dxa" w:w="69"/>
                        <w:vMerge/>
                        <w:tcBorders>
                          <w:top w:val="single" w:color="000000" w:sz="4"/>
                          <w:left w:val="single" w:color="000000" w:sz="4"/>
                          <w:bottom w:val="single" w:color="000000" w:sz="4"/>
                          <w:right w:val="single" w:color="000000" w:sz="4"/>
                        </w:tcBorders>
                      </w:tcPr>
                      <w:p/>
                    </w:tc>
                    <w:tc>
                      <w:tcPr>
                        <w:tcW w:type="dxa" w:w="166"/>
                        <w:vMerge/>
                        <w:tcBorders>
                          <w:top w:val="single" w:color="000000" w:sz="4"/>
                          <w:left w:val="single" w:color="000000" w:sz="4"/>
                          <w:bottom w:val="single" w:color="000000" w:sz="4"/>
                          <w:right w:val="single" w:color="000000" w:sz="4"/>
                        </w:tcBorders>
                      </w:tcPr>
                      <w:p/>
                    </w:tc>
                    <w:tc>
                      <w:tcPr>
                        <w:tcW w:type="dxa" w:w="77"/>
                        <w:vMerge/>
                        <w:tcBorders>
                          <w:top w:val="single" w:color="000000" w:sz="4"/>
                          <w:left w:val="single" w:color="000000" w:sz="4"/>
                          <w:bottom w:val="single" w:color="000000" w:sz="4"/>
                          <w:right w:val="single" w:color="000000" w:sz="4"/>
                        </w:tcBorders>
                      </w:tcPr>
                      <w:p/>
                    </w:tc>
                  </w:tr>
                  <w:tr>
                    <w:tc>
                      <w:tcPr>
                        <w:tcW w:type="dxa" w:w="69"/>
                        <w:vMerge/>
                        <w:tcBorders>
                          <w:top w:val="single" w:color="000000" w:sz="4"/>
                          <w:left w:val="single" w:color="000000" w:sz="4"/>
                          <w:bottom w:val="single" w:color="000000" w:sz="4"/>
                          <w:right w:val="single" w:color="000000" w:sz="4"/>
                        </w:tcBorders>
                      </w:tc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动力类型</w:t>
                        </w:r>
                      </w:p>
                    </w:tc>
                    <w:tc>
                      <w:tcPr>
                        <w:tcW w:type="dxa" w:w="77"/>
                        <w:vMerge/>
                        <w:tcBorders>
                          <w:top w:val="single" w:color="000000" w:sz="4"/>
                          <w:left w:val="single" w:color="000000" w:sz="4"/>
                          <w:bottom w:val="single" w:color="000000" w:sz="4"/>
                          <w:right w:val="single" w:color="000000" w:sz="4"/>
                        </w:tcBorders>
                      </w:tcPr>
                      <w:p/>
                    </w:tc>
                    <w:tc>
                      <w:tcPr>
                        <w:tcW w:type="dxa" w:w="2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r>
                  <w:tr>
                    <w:tc>
                      <w:tcPr>
                        <w:tcW w:type="dxa" w:w="69"/>
                        <w:vMerge/>
                        <w:tcBorders>
                          <w:top w:val="single" w:color="000000" w:sz="4"/>
                          <w:left w:val="single" w:color="000000" w:sz="4"/>
                          <w:bottom w:val="single" w:color="000000" w:sz="4"/>
                          <w:right w:val="single" w:color="000000" w:sz="4"/>
                        </w:tcBorders>
                      </w:tc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w:t>
                        </w:r>
                      </w:p>
                    </w:tc>
                    <w:tc>
                      <w:tcPr>
                        <w:tcW w:type="dxa" w:w="77"/>
                        <w:vMerge/>
                        <w:tcBorders>
                          <w:top w:val="single" w:color="000000" w:sz="4"/>
                          <w:left w:val="single" w:color="000000" w:sz="4"/>
                          <w:bottom w:val="single" w:color="000000" w:sz="4"/>
                          <w:right w:val="single" w:color="000000" w:sz="4"/>
                        </w:tcBorders>
                      </w:tcP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机油4L</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机油滤芯</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空气滤芯</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空调滤芯</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汽油滤芯</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变速箱油4L</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DOT4刹车油</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方向助力油</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火花塞</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点火线圈</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前刹车片</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后刹车片</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前刹车盘</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后刹车盘</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冷媒油</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前减震器</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后减震器</w:t>
                        </w:r>
                      </w:p>
                    </w:tc>
                    <w:tc>
                      <w:tcPr>
                        <w:tcW w:type="dxa" w:w="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bl>
                <w:p>
                  <w:pPr>
                    <w:pStyle w:val="null3"/>
                    <w:jc w:val="left"/>
                  </w:pPr>
                  <w:r>
                    <w:rPr>
                      <w:rFonts w:ascii="仿宋_GB2312" w:hAnsi="仿宋_GB2312" w:cs="仿宋_GB2312" w:eastAsia="仿宋_GB2312"/>
                      <w:sz w:val="19"/>
                    </w:rPr>
                    <w:t xml:space="preserve"> </w:t>
                  </w:r>
                </w:p>
                <w:tbl>
                  <w:tblPr>
                    <w:tblBorders>
                      <w:top w:val="none" w:color="000000" w:sz="4"/>
                      <w:left w:val="none" w:color="000000" w:sz="4"/>
                      <w:bottom w:val="none" w:color="000000" w:sz="4"/>
                      <w:right w:val="none" w:color="000000" w:sz="4"/>
                      <w:insideH w:val="none"/>
                      <w:insideV w:val="none"/>
                    </w:tblBorders>
                  </w:tblPr>
                  <w:tblGrid>
                    <w:gridCol w:w="62"/>
                    <w:gridCol w:w="169"/>
                    <w:gridCol w:w="78"/>
                    <w:gridCol w:w="117"/>
                    <w:gridCol w:w="76"/>
                    <w:gridCol w:w="117"/>
                    <w:gridCol w:w="84"/>
                    <w:gridCol w:w="117"/>
                    <w:gridCol w:w="76"/>
                    <w:gridCol w:w="117"/>
                    <w:gridCol w:w="86"/>
                    <w:gridCol w:w="117"/>
                    <w:gridCol w:w="88"/>
                    <w:gridCol w:w="117"/>
                    <w:gridCol w:w="86"/>
                    <w:gridCol w:w="117"/>
                    <w:gridCol w:w="76"/>
                    <w:gridCol w:w="117"/>
                    <w:gridCol w:w="80"/>
                    <w:gridCol w:w="117"/>
                    <w:gridCol w:w="76"/>
                    <w:gridCol w:w="117"/>
                    <w:gridCol w:w="76"/>
                  </w:tblGrid>
                  <w:tr>
                    <w:tc>
                      <w:tcPr>
                        <w:tcW w:type="dxa" w:w="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科目编号</w:t>
                        </w:r>
                      </w:p>
                    </w:tc>
                    <w:tc>
                      <w:tcPr>
                        <w:tcW w:type="dxa" w:w="1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车型</w:t>
                        </w:r>
                      </w:p>
                    </w:tc>
                    <w:tc>
                      <w:tcPr>
                        <w:tcW w:type="dxa" w:w="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c>
                      <w:tcPr>
                        <w:tcW w:type="dxa" w:w="19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江铃</w:t>
                        </w:r>
                      </w:p>
                    </w:tc>
                    <w:tc>
                      <w:tcPr>
                        <w:tcW w:type="dxa" w:w="201"/>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金杯F50</w:t>
                        </w:r>
                      </w:p>
                    </w:tc>
                    <w:tc>
                      <w:tcPr>
                        <w:tcW w:type="dxa" w:w="19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金杯阁瑞斯</w:t>
                        </w:r>
                      </w:p>
                    </w:tc>
                    <w:tc>
                      <w:tcPr>
                        <w:tcW w:type="dxa" w:w="20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柯斯达</w:t>
                        </w:r>
                      </w:p>
                    </w:tc>
                    <w:tc>
                      <w:tcPr>
                        <w:tcW w:type="dxa" w:w="205"/>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奇骏</w:t>
                        </w:r>
                      </w:p>
                    </w:tc>
                    <w:tc>
                      <w:tcPr>
                        <w:tcW w:type="dxa" w:w="20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荣威</w:t>
                        </w:r>
                      </w:p>
                    </w:tc>
                    <w:tc>
                      <w:tcPr>
                        <w:tcW w:type="dxa" w:w="19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五菱</w:t>
                        </w:r>
                      </w:p>
                    </w:tc>
                    <w:tc>
                      <w:tcPr>
                        <w:tcW w:type="dxa" w:w="197"/>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依维柯</w:t>
                        </w:r>
                      </w:p>
                    </w:tc>
                    <w:tc>
                      <w:tcPr>
                        <w:tcW w:type="dxa" w:w="19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宇通</w:t>
                        </w:r>
                      </w:p>
                    </w:tc>
                    <w:tc>
                      <w:tcPr>
                        <w:tcW w:type="dxa" w:w="19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中联</w:t>
                        </w:r>
                      </w:p>
                    </w:tc>
                  </w:tr>
                  <w:tr>
                    <w:tc>
                      <w:tcPr>
                        <w:tcW w:type="dxa" w:w="62"/>
                        <w:vMerge/>
                        <w:tcBorders>
                          <w:top w:val="single" w:color="000000" w:sz="4"/>
                          <w:left w:val="single" w:color="000000" w:sz="4"/>
                          <w:bottom w:val="single" w:color="000000" w:sz="4"/>
                          <w:right w:val="single" w:color="000000" w:sz="4"/>
                        </w:tcBorders>
                      </w:tcPr>
                      <w:p/>
                    </w:tc>
                    <w:tc>
                      <w:tcPr>
                        <w:tcW w:type="dxa" w:w="169"/>
                        <w:vMerge/>
                        <w:tcBorders>
                          <w:top w:val="single" w:color="000000" w:sz="4"/>
                          <w:left w:val="single" w:color="000000" w:sz="4"/>
                          <w:bottom w:val="single" w:color="000000" w:sz="4"/>
                          <w:right w:val="single" w:color="000000" w:sz="4"/>
                        </w:tcBorders>
                      </w:tcPr>
                      <w:p/>
                    </w:tc>
                    <w:tc>
                      <w:tcPr>
                        <w:tcW w:type="dxa" w:w="78"/>
                        <w:vMerge/>
                        <w:tcBorders>
                          <w:top w:val="single" w:color="000000" w:sz="4"/>
                          <w:left w:val="single" w:color="000000" w:sz="4"/>
                          <w:bottom w:val="single" w:color="000000" w:sz="4"/>
                          <w:right w:val="single" w:color="000000" w:sz="4"/>
                        </w:tcBorders>
                      </w:tcPr>
                      <w:p/>
                    </w:tc>
                  </w:tr>
                  <w:tr>
                    <w:tc>
                      <w:tcPr>
                        <w:tcW w:type="dxa" w:w="62"/>
                        <w:vMerge/>
                        <w:tcBorders>
                          <w:top w:val="single" w:color="000000" w:sz="4"/>
                          <w:left w:val="single" w:color="000000" w:sz="4"/>
                          <w:bottom w:val="single" w:color="000000" w:sz="4"/>
                          <w:right w:val="single" w:color="000000" w:sz="4"/>
                        </w:tcBorders>
                      </w:tcP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动力类型</w:t>
                        </w:r>
                      </w:p>
                    </w:tc>
                    <w:tc>
                      <w:tcPr>
                        <w:tcW w:type="dxa" w:w="78"/>
                        <w:vMerge/>
                        <w:tcBorders>
                          <w:top w:val="single" w:color="000000" w:sz="4"/>
                          <w:left w:val="single" w:color="000000" w:sz="4"/>
                          <w:bottom w:val="single" w:color="000000" w:sz="4"/>
                          <w:right w:val="single" w:color="000000" w:sz="4"/>
                        </w:tcBorders>
                      </w:tcPr>
                      <w:p/>
                    </w:tc>
                    <w:tc>
                      <w:tcPr>
                        <w:tcW w:type="dxa" w:w="1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1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2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1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1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燃油（柴油）</w:t>
                        </w:r>
                      </w:p>
                    </w:tc>
                    <w:tc>
                      <w:tcPr>
                        <w:tcW w:type="dxa" w:w="1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c>
                      <w:tcPr>
                        <w:tcW w:type="dxa" w:w="1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燃油</w:t>
                        </w:r>
                      </w:p>
                    </w:tc>
                  </w:tr>
                  <w:tr>
                    <w:tc>
                      <w:tcPr>
                        <w:tcW w:type="dxa" w:w="62"/>
                        <w:vMerge/>
                        <w:tcBorders>
                          <w:top w:val="single" w:color="000000" w:sz="4"/>
                          <w:left w:val="single" w:color="000000" w:sz="4"/>
                          <w:bottom w:val="single" w:color="000000" w:sz="4"/>
                          <w:right w:val="single" w:color="000000" w:sz="4"/>
                        </w:tcBorders>
                      </w:tcP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w:t>
                        </w:r>
                      </w:p>
                    </w:tc>
                    <w:tc>
                      <w:tcPr>
                        <w:tcW w:type="dxa" w:w="78"/>
                        <w:vMerge/>
                        <w:tcBorders>
                          <w:top w:val="single" w:color="000000" w:sz="4"/>
                          <w:left w:val="single" w:color="000000" w:sz="4"/>
                          <w:bottom w:val="single" w:color="000000" w:sz="4"/>
                          <w:right w:val="single" w:color="000000" w:sz="4"/>
                        </w:tcBorders>
                      </w:tcP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w:t>
                        </w:r>
                      </w:p>
                      <w:p>
                        <w:pPr>
                          <w:pStyle w:val="null3"/>
                          <w:jc w:val="center"/>
                        </w:pPr>
                        <w:r>
                          <w:rPr>
                            <w:rFonts w:ascii="仿宋_GB2312" w:hAnsi="仿宋_GB2312" w:cs="仿宋_GB2312" w:eastAsia="仿宋_GB2312"/>
                            <w:sz w:val="19"/>
                            <w:color w:val="000000"/>
                          </w:rPr>
                          <w:t>(元/小时)</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w:t>
                        </w:r>
                        <w:r>
                          <w:rPr>
                            <w:rFonts w:ascii="仿宋_GB2312" w:hAnsi="仿宋_GB2312" w:cs="仿宋_GB2312" w:eastAsia="仿宋_GB2312"/>
                            <w:sz w:val="19"/>
                            <w:color w:val="000000"/>
                          </w:rPr>
                          <w:t>（元）</w:t>
                        </w:r>
                      </w:p>
                    </w:tc>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工时费(元/小时)</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机油4L</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机油滤芯</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空气滤芯</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空调滤芯</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汽油滤芯</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变速箱油4L</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DOT4刹车油</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方向助力油</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火花塞</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点火线圈</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480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前刹车片</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后刹车片</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前刹车盘</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600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后刹车盘</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冷媒油</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前减震器</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后减震器</w:t>
                        </w:r>
                      </w:p>
                    </w:tc>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370</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bl>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b/>
                    </w:rPr>
                    <w:t>（二）动力类型：新能源</w:t>
                  </w:r>
                </w:p>
                <w:tbl>
                  <w:tblPr>
                    <w:tblBorders>
                      <w:top w:val="none" w:color="000000" w:sz="4"/>
                      <w:left w:val="none" w:color="000000" w:sz="4"/>
                      <w:bottom w:val="none" w:color="000000" w:sz="4"/>
                      <w:right w:val="none" w:color="000000" w:sz="4"/>
                      <w:insideH w:val="none"/>
                      <w:insideV w:val="none"/>
                    </w:tblBorders>
                  </w:tblPr>
                  <w:tblGrid>
                    <w:gridCol w:w="198"/>
                    <w:gridCol w:w="362"/>
                    <w:gridCol w:w="198"/>
                    <w:gridCol w:w="387"/>
                    <w:gridCol w:w="387"/>
                    <w:gridCol w:w="387"/>
                    <w:gridCol w:w="387"/>
                  </w:tblGrid>
                  <w:tr>
                    <w:tc>
                      <w:tcPr>
                        <w:tcW w:type="dxa" w:w="1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科目编号</w:t>
                        </w:r>
                      </w:p>
                    </w:tc>
                    <w:tc>
                      <w:tcPr>
                        <w:tcW w:type="dxa" w:w="3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车型</w:t>
                        </w:r>
                      </w:p>
                    </w:tc>
                    <w:tc>
                      <w:tcPr>
                        <w:tcW w:type="dxa" w:w="1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c>
                      <w:tcPr>
                        <w:tcW w:type="dxa" w:w="774"/>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比亚迪</w:t>
                        </w:r>
                      </w:p>
                    </w:tc>
                    <w:tc>
                      <w:tcPr>
                        <w:tcW w:type="dxa" w:w="774"/>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吉利</w:t>
                        </w:r>
                      </w:p>
                    </w:tc>
                  </w:tr>
                  <w:tr>
                    <w:tc>
                      <w:tcPr>
                        <w:tcW w:type="dxa" w:w="198"/>
                        <w:vMerge/>
                        <w:tcBorders>
                          <w:top w:val="single" w:color="000000" w:sz="4"/>
                          <w:left w:val="single" w:color="000000" w:sz="4"/>
                          <w:bottom w:val="single" w:color="000000" w:sz="4"/>
                          <w:right w:val="single" w:color="000000" w:sz="4"/>
                        </w:tcBorders>
                      </w:tcPr>
                      <w:p/>
                    </w:tc>
                    <w:tc>
                      <w:tcPr>
                        <w:tcW w:type="dxa" w:w="362"/>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r>
                  <w:tr>
                    <w:tc>
                      <w:tcPr>
                        <w:tcW w:type="dxa" w:w="198"/>
                        <w:vMerge/>
                        <w:tcBorders>
                          <w:top w:val="single" w:color="000000" w:sz="4"/>
                          <w:left w:val="single" w:color="000000" w:sz="4"/>
                          <w:bottom w:val="single" w:color="000000" w:sz="4"/>
                          <w:right w:val="single" w:color="000000" w:sz="4"/>
                        </w:tcBorders>
                      </w:tcP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动力类型</w:t>
                        </w:r>
                      </w:p>
                    </w:tc>
                    <w:tc>
                      <w:tcPr>
                        <w:tcW w:type="dxa" w:w="198"/>
                        <w:vMerge/>
                        <w:tcBorders>
                          <w:top w:val="single" w:color="000000" w:sz="4"/>
                          <w:left w:val="single" w:color="000000" w:sz="4"/>
                          <w:bottom w:val="single" w:color="000000" w:sz="4"/>
                          <w:right w:val="single" w:color="000000" w:sz="4"/>
                        </w:tcBorders>
                      </w:tcPr>
                      <w:p/>
                    </w:tc>
                    <w:tc>
                      <w:tcPr>
                        <w:tcW w:type="dxa" w:w="7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新能源</w:t>
                        </w:r>
                      </w:p>
                    </w:tc>
                    <w:tc>
                      <w:tcPr>
                        <w:tcW w:type="dxa" w:w="7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新能源</w:t>
                        </w:r>
                      </w:p>
                    </w:tc>
                  </w:tr>
                  <w:tr>
                    <w:tc>
                      <w:tcPr>
                        <w:tcW w:type="dxa" w:w="198"/>
                        <w:vMerge/>
                        <w:tcBorders>
                          <w:top w:val="single" w:color="000000" w:sz="4"/>
                          <w:left w:val="single" w:color="000000" w:sz="4"/>
                          <w:bottom w:val="single" w:color="000000" w:sz="4"/>
                          <w:right w:val="single" w:color="000000" w:sz="4"/>
                        </w:tcBorders>
                      </w:tcP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w:t>
                        </w:r>
                      </w:p>
                    </w:tc>
                    <w:tc>
                      <w:tcPr>
                        <w:tcW w:type="dxa" w:w="198"/>
                        <w:vMerge/>
                        <w:tcBorders>
                          <w:top w:val="single" w:color="000000" w:sz="4"/>
                          <w:left w:val="single" w:color="000000" w:sz="4"/>
                          <w:bottom w:val="single" w:color="000000" w:sz="4"/>
                          <w:right w:val="single" w:color="000000" w:sz="4"/>
                        </w:tcBorders>
                      </w:tcP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材料费（元）</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w:t>
                        </w:r>
                        <w:r>
                          <w:rPr>
                            <w:rFonts w:ascii="仿宋_GB2312" w:hAnsi="仿宋_GB2312" w:cs="仿宋_GB2312" w:eastAsia="仿宋_GB2312"/>
                            <w:sz w:val="19"/>
                            <w:color w:val="000000"/>
                          </w:rPr>
                          <w:t>(元/小时)</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材料费（元）</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工时费</w:t>
                        </w:r>
                        <w:r>
                          <w:rPr>
                            <w:rFonts w:ascii="仿宋_GB2312" w:hAnsi="仿宋_GB2312" w:cs="仿宋_GB2312" w:eastAsia="仿宋_GB2312"/>
                            <w:sz w:val="19"/>
                            <w:color w:val="000000"/>
                          </w:rPr>
                          <w:t>(元/小时)</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机油4L</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机油滤芯</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空气滤芯</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空调滤芯</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汽油滤芯</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变速箱油4L</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DOT4刹车油</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方向助力油</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火花塞</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点火线圈</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前刹车片</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后刹车片</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付</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前刹车盘</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后刹车盘</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冷媒油</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瓶</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前减震器</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后减震器</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r>
                </w:tbl>
                <w:p>
                  <w:pPr>
                    <w:pStyle w:val="null3"/>
                    <w:jc w:val="left"/>
                  </w:pPr>
                  <w:r>
                    <w:rPr>
                      <w:rFonts w:ascii="仿宋_GB2312" w:hAnsi="仿宋_GB2312" w:cs="仿宋_GB2312" w:eastAsia="仿宋_GB2312"/>
                      <w:sz w:val="19"/>
                    </w:rPr>
                    <w:t xml:space="preserve"> </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维修服务人员数量应能满足西安浐灞国际港车辆维修实际需要，根据维修量适时增减维修人员。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维修服务人员数量应能满足西安浐灞国际港车辆维修实际需要，根据维修量适时增减维修人员。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车辆维修维护费用结算按维修维护清单每季度据实结算一次，于第一季度第一个月内结清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车辆维修维护费用结算按维修维护清单每季度据实结算一次，于第二季度第一个月内结清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车辆维修维护费用结算按维修维护清单每季度据实结算一次，于第三季度第一个月内结清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车辆维修维护费用结算按维修维护清单每季度据实结算一次，于第四季度第一个月内结清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车辆维修维护费用结算按维修维护清单每季度据实结算一次，于第一季度第一个月内结清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车辆维修维护费用结算按维修维护清单每季度据实结算一次，于第二季度第一个月内结清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车辆维修维护费用结算按维修维护清单每季度据实结算一次，于第三季度第一个月内结清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车辆维修维护费用结算按维修维护清单每季度据实结算一次，于第四季度第一个月内结清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1、如供应商违反本协议约定，采购人有权根据违约情形，依法采取警告、扣除项目保证金、取消定点采购中标资格、终止协议等方式，纠正供应商违约行为并消除违约影响。 2、如供应商因经营管理方面发生重大问题，或因提供虚假发票等违法行为被停业整顿、禁止经营的，将同时失去定点采购中标资格，同时三年内不得参加政府采购活动。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1、如供应商违反本协议约定，采购人有权根据违约情形，依法采取警告、扣除项目保证金、取消定点采购中标资格、终止协议等方式，纠正供应商违约行为并消除违约影响。 2、如供应商因经营管理方面发生重大问题，或因提供虚假发票等违法行为被停业整顿、禁止经营的，将同时失去定点采购中标资格，同时三年内不得参加政府采购活动。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3.5.1本项目专门面向中小企业。本项目所属行业：其他未列明行业（根据《工业和信息化部、国家统计局、发展改革委、财政部关于印发中小企业划型标准规定的通知》（工信部联企业〔2011〕300 号）规定的划分标准，从业人员300人以下的为中小微型企业。其中，从业人员100人及以上的为中型企业；从业人员10人及以上的为小型企业；从业人员10人以下的为微型企业。） 3.5.2本项目维修标准单价，具体详见招标文件 第三章 招标项目技术、服务、商务及其他要求 3.2服务内容及服务要求。 3.5.3为保证服务质量，同一投标人可同时参与多个包的投标，但仅允许中一个标段。 3.5.4中标单位在领取中标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3.5.5落实政府采购政策：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发展改革委、生态环境部、市场监管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 关于进一步加强政府绿色采购有关问题的通知》陕财办采〔2021〕29号。 ③、《财政部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财政部、国家发改委、生态环境部、市场监管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关于进一步加强政府绿色采购有关问题的通知》（陕财办采〔2021〕29号）、《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法有效的统一社会信用代码营业执照（事业单位提供事业单位法人证书，自然人应提供身份证）；2、提供供应商2024年1月至今任意一个月已缴纳的完税凭证或税务机关开具的完税证明（任意税种）；依法免税的应提供相关文件证明；3、提供供应商2024年1月至今任意一个月已缴纳的社会保障资金缴存单据或社保机构开具的社会保险参保缴费情况证明；依法不需要缴纳社会保障资金的应提供相关文件证明；4、提供具有履行合同所必需的设备和专业技术能力的承诺函；5、提供参加本次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控股、管理关系的不同单位不得同时参加本次采购活动。2、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供应商资格条件.docx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法有效的统一社会信用代码营业执照（事业单位提供事业单位法人证书，自然人应提供身份证）；2、提供供应商2024年1月至今任意一个月已缴纳的完税凭证或税务机关开具的完税证明（任意税种）；依法免税的应提供相关文件证明；3、提供供应商2024年1月至今任意一个月已缴纳的社会保障资金缴存单据或社保机构开具的社会保险参保缴费情况证明；依法不需要缴纳社会保障资金的应提供相关文件证明；4、提供具有履行合同所必需的设备和专业技术能力的承诺函；5、提供参加本次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控股、管理关系的不同单位不得同时参加本次采购活动。2、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供应商资格条件.docx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法定代表人（负责人）授权委托书/法定代表人（负责人）身份证明</w:t>
            </w:r>
          </w:p>
        </w:tc>
        <w:tc>
          <w:tcPr>
            <w:tcW w:type="dxa" w:w="3322"/>
          </w:tcPr>
          <w:p>
            <w:pPr>
              <w:pStyle w:val="null3"/>
            </w:pPr>
            <w:r>
              <w:rPr>
                <w:rFonts w:ascii="仿宋_GB2312" w:hAnsi="仿宋_GB2312" w:cs="仿宋_GB2312" w:eastAsia="仿宋_GB2312"/>
              </w:rPr>
              <w:t>法定代表人参加投标的，须提供身份证；法定代表人授权他人参加投标的，须提供法定代表人授权委托书及被授权人身份证。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供应商资格条件.docx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法定代表人（负责人）授权委托书/法定代表人（负责人）身份证明</w:t>
            </w:r>
          </w:p>
        </w:tc>
        <w:tc>
          <w:tcPr>
            <w:tcW w:type="dxa" w:w="3322"/>
          </w:tcPr>
          <w:p>
            <w:pPr>
              <w:pStyle w:val="null3"/>
            </w:pPr>
            <w:r>
              <w:rPr>
                <w:rFonts w:ascii="仿宋_GB2312" w:hAnsi="仿宋_GB2312" w:cs="仿宋_GB2312" w:eastAsia="仿宋_GB2312"/>
              </w:rPr>
              <w:t>法定代表人参加投标的，须提供身份证；法定代表人授权他人参加投标的，须提供法定代表人授权委托书及被授权人身份证。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供应商资格条件.docx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公车维修--开标一览表.docx 开标一览表 标的清单 供应商资格条件.docx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服务内容及服务邀请应答表 中小企业声明函 商务应答表 政府采购供应商拒绝政府采购领域商业贿赂承诺书--公车维修.docx 投标人应提交的相关资格证明材料 供应商资格条件.docx 公车维修--开标一览表.docx 投标函 残疾人福利性单位声明函 服务方案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投标报价不得高于采购预算或最高限价(最高含税完全综合单价限价)，且只能有一个有效报价，不得提交选择性报价</w:t>
            </w:r>
          </w:p>
        </w:tc>
        <w:tc>
          <w:tcPr>
            <w:tcW w:type="dxa" w:w="1661"/>
          </w:tcPr>
          <w:p>
            <w:pPr>
              <w:pStyle w:val="null3"/>
            </w:pPr>
            <w:r>
              <w:rPr>
                <w:rFonts w:ascii="仿宋_GB2312" w:hAnsi="仿宋_GB2312" w:cs="仿宋_GB2312" w:eastAsia="仿宋_GB2312"/>
              </w:rPr>
              <w:t>公车维修--开标一览表.docx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应符合“招标文件要求”规定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应符合招标文件规定的其他实质性要求的</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公车维修--开标一览表.docx 开标一览表 标的清单 供应商资格条件.docx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服务内容及服务邀请应答表 中小企业声明函 商务应答表 政府采购供应商拒绝政府采购领域商业贿赂承诺书--公车维修.docx 投标人应提交的相关资格证明材料 供应商资格条件.docx 公车维修--开标一览表.docx 投标函 残疾人福利性单位声明函 服务方案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投标报价不得高于采购预算或最高限价(最高含税完全综合单价限价)，且只能有一个有效报价，不得提交选择性报价</w:t>
            </w:r>
          </w:p>
        </w:tc>
        <w:tc>
          <w:tcPr>
            <w:tcW w:type="dxa" w:w="1661"/>
          </w:tcPr>
          <w:p>
            <w:pPr>
              <w:pStyle w:val="null3"/>
            </w:pPr>
            <w:r>
              <w:rPr>
                <w:rFonts w:ascii="仿宋_GB2312" w:hAnsi="仿宋_GB2312" w:cs="仿宋_GB2312" w:eastAsia="仿宋_GB2312"/>
              </w:rPr>
              <w:t>公车维修--开标一览表.docx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应符合“招标文件要求”规定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应符合招标文件规定的其他实质性要求的</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维修管理制度①</w:t>
            </w:r>
          </w:p>
        </w:tc>
        <w:tc>
          <w:tcPr>
            <w:tcW w:type="dxa" w:w="2492"/>
          </w:tcPr>
          <w:p>
            <w:pPr>
              <w:pStyle w:val="null3"/>
            </w:pPr>
            <w:r>
              <w:rPr>
                <w:rFonts w:ascii="仿宋_GB2312" w:hAnsi="仿宋_GB2312" w:cs="仿宋_GB2312" w:eastAsia="仿宋_GB2312"/>
              </w:rPr>
              <w:t>提供维修管理制度，包括①质量管理制度，②安全生产管理制度，③车辆维修档案管理制度，④人员培训制度，⑤设备管理制度，⑥配件管理制度。制度健全：每提供一项，得2分，满分12分。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维修管理制度②</w:t>
            </w:r>
          </w:p>
        </w:tc>
        <w:tc>
          <w:tcPr>
            <w:tcW w:type="dxa" w:w="2492"/>
          </w:tcPr>
          <w:p>
            <w:pPr>
              <w:pStyle w:val="null3"/>
            </w:pPr>
            <w:r>
              <w:rPr>
                <w:rFonts w:ascii="仿宋_GB2312" w:hAnsi="仿宋_GB2312" w:cs="仿宋_GB2312" w:eastAsia="仿宋_GB2312"/>
              </w:rPr>
              <w:t>在满足维修管理制度①的基础上：制度规范性： 内容规范、条理清晰、科学合理，得[6-8分]； 内容比较规范、条理尚清晰，得[3-6分）；内容粗略，得[0-3分）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拟投入本项目设备配备</w:t>
            </w:r>
          </w:p>
        </w:tc>
        <w:tc>
          <w:tcPr>
            <w:tcW w:type="dxa" w:w="2492"/>
          </w:tcPr>
          <w:p>
            <w:pPr>
              <w:pStyle w:val="null3"/>
            </w:pPr>
            <w:r>
              <w:rPr>
                <w:rFonts w:ascii="仿宋_GB2312" w:hAnsi="仿宋_GB2312" w:cs="仿宋_GB2312" w:eastAsia="仿宋_GB2312"/>
              </w:rPr>
              <w:t>拟投入本项目设备配备。 1.设备配备合理，耗材种类齐全，数量充足，得（7-10分]； 2.设备配备基本合理，耗材种类较全，数量较充足，得（3-7分]； 3.设备配备不合理，耗材种类不全，数量不足，得[0-3分]；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按企业管理负责人、业务受理人员、技术负责人、质量检验人员、配件管理人员、车辆维修技工数量、从业年限及专业情况等情况，并提供相应的证明资料。人员结构合理，配备齐全，得(7-10分]；人员结构较合理，配备相对齐全，得(3-7分]；人员结构及配备简单，需调整后满足项目需求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维修环境方案</w:t>
            </w:r>
          </w:p>
        </w:tc>
        <w:tc>
          <w:tcPr>
            <w:tcW w:type="dxa" w:w="2492"/>
          </w:tcPr>
          <w:p>
            <w:pPr>
              <w:pStyle w:val="null3"/>
            </w:pPr>
            <w:r>
              <w:rPr>
                <w:rFonts w:ascii="仿宋_GB2312" w:hAnsi="仿宋_GB2312" w:cs="仿宋_GB2312" w:eastAsia="仿宋_GB2312"/>
              </w:rPr>
              <w:t>提供维修环境方案，方案包括但不限于（维修场地、停车场地、办公区域，车辆停放整齐，工具、工件摆放） 1.维修场地、停车场地、办公区域满足本项目需要，工具、零件、设备清洁，工具、工件摆放有序，得（4-6分]； 2.维修场地、停车场地、办公区域基本满足本项目需要，工具、零件、设备较清洁，工具、工件摆放基本有序，得（2-4分]； 3.维修场地、停车场地、办公区域不满足本项目需要，工具、零件、设备清洁，工具、工件摆放乱，得[0-2]；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配品配件及消耗品货源渠道</w:t>
            </w:r>
          </w:p>
        </w:tc>
        <w:tc>
          <w:tcPr>
            <w:tcW w:type="dxa" w:w="2492"/>
          </w:tcPr>
          <w:p>
            <w:pPr>
              <w:pStyle w:val="null3"/>
            </w:pPr>
            <w:r>
              <w:rPr>
                <w:rFonts w:ascii="仿宋_GB2312" w:hAnsi="仿宋_GB2312" w:cs="仿宋_GB2312" w:eastAsia="仿宋_GB2312"/>
              </w:rPr>
              <w:t>配品配件及消耗品货源渠道正常，有质量保证，并提供相关证明资料。 1.产品来源渠道供应链完整齐全，可追溯性清晰，得（4-6分]； 2.产品来源渠道供应链完整基本完整，可追溯性一般，得（2-4分]； 3.产品来源渠道供应链完整不完整，部分具有可追溯性，得[0-2]；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提供车辆应急预案措施，（包括但不限于车辆故障、事故车辆路途施救、恶劣天气修检等方面），措施科学合理，针对性强，得（4-6分]；措施相对合理，针对性一般，得(2-4];措施内容笼统，指导性一般，得[0-2];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响应时限和保证措施</w:t>
            </w:r>
          </w:p>
        </w:tc>
        <w:tc>
          <w:tcPr>
            <w:tcW w:type="dxa" w:w="2492"/>
          </w:tcPr>
          <w:p>
            <w:pPr>
              <w:pStyle w:val="null3"/>
            </w:pPr>
            <w:r>
              <w:rPr>
                <w:rFonts w:ascii="仿宋_GB2312" w:hAnsi="仿宋_GB2312" w:cs="仿宋_GB2312" w:eastAsia="仿宋_GB2312"/>
              </w:rPr>
              <w:t>提供维修响应时限和保证措施。 1.内容科学完整，有针对性，得（4-6分]；内容相对合理，针对性一般，得(2-4];内容笼统，得[0-2];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针对车辆及时到达故障地点和故障排除、维修，具有明确、具体、切实可行的措施。 1.售后服务措施和承诺详细可行，得(4-6]分； 2.售后服务措施和承诺基本合理，得(2-4]分； 3.售后服务措施和承诺较差，得[0-2]分。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提供2022年1月至今(以合同签订时间为准）类似项目业绩合同，每份计2分，满分10分。（注：附业绩合同扫描件或复印件。）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业绩一览表--公务车辆维修.docx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价格分统一采用低价优先法计算，即满足招标文件要求且最终报价最低（折扣率最低）的为评标基准价，其价格分为满分。 材料费折扣率报价得分： 投标报价得分=（评标基准价）/投标报价×12，计算分数时四舍五入取小数点后两位。 工时费折扣率报价得分： 投标报价得分=（评标基准价）/投标报价×8，计算分数时四舍五入取小数点后两位。 投标报价得分=材料费折扣率报价得分+工时费折扣率报价得分。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公车维修--开标一览表.docx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维修管理制度①</w:t>
            </w:r>
          </w:p>
        </w:tc>
        <w:tc>
          <w:tcPr>
            <w:tcW w:type="dxa" w:w="2492"/>
          </w:tcPr>
          <w:p>
            <w:pPr>
              <w:pStyle w:val="null3"/>
            </w:pPr>
            <w:r>
              <w:rPr>
                <w:rFonts w:ascii="仿宋_GB2312" w:hAnsi="仿宋_GB2312" w:cs="仿宋_GB2312" w:eastAsia="仿宋_GB2312"/>
              </w:rPr>
              <w:t>提供维修管理制度，包括①质量管理制度，②安全生产管理制度，③车辆维修档案管理制度，④人员培训制度，⑤设备管理制度，⑥配件管理制度。制度健全：每提供一项，得2分，满分12分。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维修管理制度②</w:t>
            </w:r>
          </w:p>
        </w:tc>
        <w:tc>
          <w:tcPr>
            <w:tcW w:type="dxa" w:w="2492"/>
          </w:tcPr>
          <w:p>
            <w:pPr>
              <w:pStyle w:val="null3"/>
            </w:pPr>
            <w:r>
              <w:rPr>
                <w:rFonts w:ascii="仿宋_GB2312" w:hAnsi="仿宋_GB2312" w:cs="仿宋_GB2312" w:eastAsia="仿宋_GB2312"/>
              </w:rPr>
              <w:t>在满足维修管理制度①的基础上：制度规范性： 内容规范、条理清晰、科学合理，得[6-8分]； 内容比较规范、条理尚清晰，得[3-6分）；内容粗略，得[0-3分）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拟投入本项目设备配备</w:t>
            </w:r>
          </w:p>
        </w:tc>
        <w:tc>
          <w:tcPr>
            <w:tcW w:type="dxa" w:w="2492"/>
          </w:tcPr>
          <w:p>
            <w:pPr>
              <w:pStyle w:val="null3"/>
            </w:pPr>
            <w:r>
              <w:rPr>
                <w:rFonts w:ascii="仿宋_GB2312" w:hAnsi="仿宋_GB2312" w:cs="仿宋_GB2312" w:eastAsia="仿宋_GB2312"/>
              </w:rPr>
              <w:t>拟投入本项目设备配备。 1.设备配备合理，耗材种类齐全，数量充足，得（7-10分]； 2.设备配备基本合理，耗材种类较全，数量较充足，得（3-7分]； 3.设备配备不合理，耗材种类不全，数量不足，得[0-3分]；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按企业管理负责人、业务受理人员、技术负责人、质量检验人员、配件管理人员、车辆维修技工数量、从业年限及专业情况等情况，并提供相应的证明资料。人员结构合理，配备齐全，得(7-10分]；人员结构较合理，配备相对齐全，得(3-7分]；人员结构及配备简单，需调整后满足项目需求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维修环境方案</w:t>
            </w:r>
          </w:p>
        </w:tc>
        <w:tc>
          <w:tcPr>
            <w:tcW w:type="dxa" w:w="2492"/>
          </w:tcPr>
          <w:p>
            <w:pPr>
              <w:pStyle w:val="null3"/>
            </w:pPr>
            <w:r>
              <w:rPr>
                <w:rFonts w:ascii="仿宋_GB2312" w:hAnsi="仿宋_GB2312" w:cs="仿宋_GB2312" w:eastAsia="仿宋_GB2312"/>
              </w:rPr>
              <w:t>提供维修环境方案，方案包括但不限于（维修场地、停车场地、办公区域，车辆停放整齐，工具、工件摆放） 1.维修场地、停车场地、办公区域满足本项目需要，工具、零件、设备清洁，工具、工件摆放有序，得（4-6分]； 2.维修场地、停车场地、办公区域基本满足本项目需要，工具、零件、设备较清洁，工具、工件摆放基本有序，得（2-4分]； 3.维修场地、停车场地、办公区域不满足本项目需要，工具、零件、设备清洁，工具、工件摆放乱，得[0-2]；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配品配件及消耗品货源渠道</w:t>
            </w:r>
          </w:p>
        </w:tc>
        <w:tc>
          <w:tcPr>
            <w:tcW w:type="dxa" w:w="2492"/>
          </w:tcPr>
          <w:p>
            <w:pPr>
              <w:pStyle w:val="null3"/>
            </w:pPr>
            <w:r>
              <w:rPr>
                <w:rFonts w:ascii="仿宋_GB2312" w:hAnsi="仿宋_GB2312" w:cs="仿宋_GB2312" w:eastAsia="仿宋_GB2312"/>
              </w:rPr>
              <w:t>配品配件及消耗品货源渠道正常，有质量保证，并提供相关证明资料。 1.产品来源渠道供应链完整齐全，可追溯性清晰，得（4-6分]； 2.产品来源渠道供应链完整基本完整，可追溯性一般，得（2-4分]； 3.产品来源渠道供应链完整不完整，部分具有可追溯性，得[0-2]；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提供车辆应急预案措施，（包括但不限于车辆故障、事故车辆路途施救、恶劣天气修检等方面），措施科学合理，针对性强，得（4-6分]；措施相对合理，针对性一般，得(2-4];措施内容笼统，指导性一般，得[0-2];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响应时限和保证措施</w:t>
            </w:r>
          </w:p>
        </w:tc>
        <w:tc>
          <w:tcPr>
            <w:tcW w:type="dxa" w:w="2492"/>
          </w:tcPr>
          <w:p>
            <w:pPr>
              <w:pStyle w:val="null3"/>
            </w:pPr>
            <w:r>
              <w:rPr>
                <w:rFonts w:ascii="仿宋_GB2312" w:hAnsi="仿宋_GB2312" w:cs="仿宋_GB2312" w:eastAsia="仿宋_GB2312"/>
              </w:rPr>
              <w:t>提供维修响应时限和保证措施。 1.内容科学完整，有针对性，得（4-6分]；内容相对合理，针对性一般，得(2-4];内容笼统，得[0-2];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针对车辆及时到达故障地点和故障排除、维修，具有明确、具体、切实可行的措施。 1.售后服务措施和承诺详细可行，得(4-6]分； 2.售后服务措施和承诺基本合理，得(2-4]分； 3.售后服务措施和承诺较差，得[0-2]分。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提供2022年1月至今(以合同签订时间为准）类似项目业绩合同，每份计2分，满分10分。（注：附业绩合同扫描件或复印件。）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业绩一览表--公务车辆维修.docx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价格分统一采用低价优先法计算，即满足招标文件要求且最终报价最低（折扣率最低）的为评标基准价，其价格分为满分。 材料费折扣率报价得分： 投标报价得分=（评标基准价）/投标报价×12，计算分数时四舍五入取小数点后两位。 工时费折扣率报价得分： 投标报价得分=（评标基准价）/投标报价×8，计算分数时四舍五入取小数点后两位。 投标报价得分=材料费折扣率报价得分+工时费折扣率报价得分。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公车维修--开标一览表.docx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详见附件：供应商资格条件.docx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详见附件：业绩一览表--公务车辆维修.docx</w:t>
      </w:r>
    </w:p>
    <w:p>
      <w:pPr>
        <w:pStyle w:val="null3"/>
        <w:ind w:firstLine="960"/>
      </w:pPr>
      <w:r>
        <w:rPr>
          <w:rFonts w:ascii="仿宋_GB2312" w:hAnsi="仿宋_GB2312" w:cs="仿宋_GB2312" w:eastAsia="仿宋_GB2312"/>
        </w:rPr>
        <w:t>详见附件：政府采购供应商拒绝政府采购领域商业贿赂承诺书--公车维修.docx</w:t>
      </w:r>
    </w:p>
    <w:p>
      <w:pPr>
        <w:pStyle w:val="null3"/>
        <w:ind w:firstLine="960"/>
      </w:pPr>
      <w:r>
        <w:rPr>
          <w:rFonts w:ascii="仿宋_GB2312" w:hAnsi="仿宋_GB2312" w:cs="仿宋_GB2312" w:eastAsia="仿宋_GB2312"/>
        </w:rPr>
        <w:t>详见附件：公车维修--开标一览表.docx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详见附件：供应商资格条件.docx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详见附件：业绩一览表--公务车辆维修.docx</w:t>
      </w:r>
    </w:p>
    <w:p>
      <w:pPr>
        <w:pStyle w:val="null3"/>
        <w:ind w:firstLine="960"/>
      </w:pPr>
      <w:r>
        <w:rPr>
          <w:rFonts w:ascii="仿宋_GB2312" w:hAnsi="仿宋_GB2312" w:cs="仿宋_GB2312" w:eastAsia="仿宋_GB2312"/>
        </w:rPr>
        <w:t>详见附件：政府采购供应商拒绝政府采购领域商业贿赂承诺书--公车维修.docx</w:t>
      </w:r>
    </w:p>
    <w:p>
      <w:pPr>
        <w:pStyle w:val="null3"/>
        <w:ind w:firstLine="960"/>
      </w:pPr>
      <w:r>
        <w:rPr>
          <w:rFonts w:ascii="仿宋_GB2312" w:hAnsi="仿宋_GB2312" w:cs="仿宋_GB2312" w:eastAsia="仿宋_GB2312"/>
        </w:rPr>
        <w:t>详见附件：公车维修--开标一览表.docx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详见附件：公车维修服务--合同.docx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