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浐灞国际港公益性公墓运营服务（陆港纪念公园）项目</w:t>
      </w:r>
    </w:p>
    <w:p>
      <w:pPr>
        <w:pStyle w:val="null3"/>
        <w:jc w:val="center"/>
        <w:outlineLvl w:val="2"/>
      </w:pPr>
      <w:r>
        <w:rPr>
          <w:sz w:val="28"/>
          <w:b/>
        </w:rPr>
        <w:t>采购项目编号：</w:t>
      </w:r>
      <w:r>
        <w:rPr>
          <w:sz w:val="28"/>
          <w:b/>
        </w:rPr>
        <w:t>GWZC-2024-221</w:t>
      </w:r>
      <w:r>
        <w:br/>
      </w:r>
      <w:r>
        <w:br/>
      </w:r>
      <w:r>
        <w:br/>
      </w:r>
    </w:p>
    <w:p>
      <w:pPr>
        <w:pStyle w:val="null3"/>
        <w:jc w:val="center"/>
        <w:outlineLvl w:val="2"/>
      </w:pPr>
      <w:r>
        <w:rPr>
          <w:sz w:val="28"/>
          <w:b/>
        </w:rPr>
        <w:t>西安浐灞国际港公共服务局</w:t>
      </w:r>
    </w:p>
    <w:p>
      <w:pPr>
        <w:pStyle w:val="null3"/>
        <w:jc w:val="center"/>
        <w:outlineLvl w:val="2"/>
      </w:pPr>
      <w:r>
        <w:rPr>
          <w:sz w:val="28"/>
          <w:b/>
        </w:rPr>
        <w:t>陕西纵横项目管理有限公司</w:t>
      </w:r>
      <w:r>
        <w:rPr>
          <w:sz w:val="28"/>
          <w:b/>
        </w:rPr>
        <w:t>共同编制</w:t>
      </w:r>
    </w:p>
    <w:p>
      <w:pPr>
        <w:pStyle w:val="null3"/>
        <w:jc w:val="center"/>
        <w:outlineLvl w:val="2"/>
      </w:pPr>
      <w:r>
        <w:rPr>
          <w:sz w:val="28"/>
          <w:b/>
        </w:rPr>
        <w:t>2025年01月07日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陕西纵横项目管理有限公司</w:t>
      </w:r>
      <w:r>
        <w:rPr/>
        <w:t>（以下简称“代理机构”）受</w:t>
      </w:r>
      <w:r>
        <w:rPr/>
        <w:t>西安浐灞国际港公共服务局</w:t>
      </w:r>
      <w:r>
        <w:rPr/>
        <w:t>委托，拟对</w:t>
      </w:r>
      <w:r>
        <w:rPr/>
        <w:t>浐灞国际港公益性公墓运营服务（陆港纪念公园）项目</w:t>
      </w:r>
      <w:r>
        <w:rPr/>
        <w:t>采用竞争性磋商采购方式进行采购，兹邀请供应商参加本项目的竞争性磋商。</w:t>
      </w:r>
    </w:p>
    <w:p>
      <w:pPr>
        <w:pStyle w:val="null3"/>
        <w:outlineLvl w:val="2"/>
      </w:pPr>
      <w:r>
        <w:rPr>
          <w:sz w:val="28"/>
          <w:b/>
        </w:rPr>
        <w:t>一、项目编号：</w:t>
      </w:r>
      <w:r>
        <w:rPr>
          <w:sz w:val="28"/>
          <w:b/>
        </w:rPr>
        <w:t>GWZC-2024-221</w:t>
      </w:r>
    </w:p>
    <w:p>
      <w:pPr>
        <w:pStyle w:val="null3"/>
        <w:outlineLvl w:val="2"/>
      </w:pPr>
      <w:r>
        <w:rPr>
          <w:sz w:val="28"/>
          <w:b/>
        </w:rPr>
        <w:t>二、项目名称：</w:t>
      </w:r>
      <w:r>
        <w:rPr>
          <w:sz w:val="28"/>
          <w:b/>
        </w:rPr>
        <w:t>浐灞国际港公益性公墓运营服务（陆港纪念公园）项目</w:t>
      </w:r>
    </w:p>
    <w:p>
      <w:pPr>
        <w:pStyle w:val="null3"/>
        <w:outlineLvl w:val="2"/>
      </w:pPr>
      <w:r>
        <w:rPr>
          <w:sz w:val="28"/>
          <w:b/>
        </w:rPr>
        <w:t>三、磋商项目简介</w:t>
      </w:r>
    </w:p>
    <w:p>
      <w:pPr>
        <w:pStyle w:val="null3"/>
        <w:ind w:firstLine="480"/>
      </w:pPr>
      <w:r>
        <w:rPr/>
        <w:t>陆港纪念公园位于欧亚大道以东，铁路北环线以南，占地约55亩，总建筑面积约8500㎡，其中地下建筑面积约7500㎡。是在倡导文明、节俭、低碳现代殡葬改革下，完善园区社会事业配套的惠民公益性公园。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采购包1（浐灞国际港公益性公墓运营服务（陆港纪念公园）项目）：属于专门面向中小企业采购。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身份证明：法定代表人委托授权书：法定代表人授权书（附法定代表人、被授权人身份证复印件）及被授权人身份证（法定代表人直接参加磋商，须提供法定代表人身份证明及身份证）</w:t>
      </w:r>
    </w:p>
    <w:p>
      <w:pPr>
        <w:pStyle w:val="null3"/>
      </w:pPr>
      <w:r>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t>3、联合体：本项目不接受联合体磋商，不允许分包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西安浐灞国际港公共服务局</w:t>
      </w:r>
    </w:p>
    <w:p>
      <w:pPr>
        <w:pStyle w:val="null3"/>
      </w:pPr>
      <w:r>
        <w:rPr/>
        <w:t xml:space="preserve"> 地址： </w:t>
      </w:r>
      <w:r>
        <w:rPr/>
        <w:t>西安市浐灞国际港港务大道6号</w:t>
      </w:r>
    </w:p>
    <w:p>
      <w:pPr>
        <w:pStyle w:val="null3"/>
      </w:pPr>
      <w:r>
        <w:rPr/>
        <w:t xml:space="preserve"> 邮编： </w:t>
      </w:r>
      <w:r>
        <w:rPr/>
        <w:t>710000</w:t>
      </w:r>
    </w:p>
    <w:p>
      <w:pPr>
        <w:pStyle w:val="null3"/>
      </w:pPr>
      <w:r>
        <w:rPr/>
        <w:t xml:space="preserve"> 联系人： </w:t>
      </w:r>
      <w:r>
        <w:rPr/>
        <w:t>朱老师</w:t>
      </w:r>
    </w:p>
    <w:p>
      <w:pPr>
        <w:pStyle w:val="null3"/>
      </w:pPr>
      <w:r>
        <w:rPr/>
        <w:t xml:space="preserve"> 联系电话： </w:t>
      </w:r>
      <w:r>
        <w:rPr/>
        <w:t>029-83521157</w:t>
      </w:r>
    </w:p>
    <w:p>
      <w:pPr>
        <w:pStyle w:val="null3"/>
        <w:outlineLvl w:val="3"/>
      </w:pPr>
      <w:r>
        <w:rPr>
          <w:sz w:val="24"/>
          <w:b/>
        </w:rPr>
        <w:t>代理机构：</w:t>
      </w:r>
      <w:r>
        <w:rPr>
          <w:sz w:val="24"/>
          <w:b/>
        </w:rPr>
        <w:t>陕西纵横项目管理有限公司</w:t>
      </w:r>
    </w:p>
    <w:p>
      <w:pPr>
        <w:pStyle w:val="null3"/>
      </w:pPr>
      <w:r>
        <w:rPr/>
        <w:t xml:space="preserve"> 地址： </w:t>
      </w:r>
      <w:r>
        <w:rPr/>
        <w:t>西安市经开区凤城五路赛高街区A座902室</w:t>
      </w:r>
    </w:p>
    <w:p>
      <w:pPr>
        <w:pStyle w:val="null3"/>
      </w:pPr>
      <w:r>
        <w:rPr/>
        <w:t xml:space="preserve"> 邮编： </w:t>
      </w:r>
      <w:r>
        <w:rPr/>
        <w:t>710000</w:t>
      </w:r>
    </w:p>
    <w:p>
      <w:pPr>
        <w:pStyle w:val="null3"/>
      </w:pPr>
      <w:r>
        <w:rPr/>
        <w:t xml:space="preserve"> 联系人： </w:t>
      </w:r>
      <w:r>
        <w:rPr/>
        <w:t>曹工</w:t>
      </w:r>
    </w:p>
    <w:p>
      <w:pPr>
        <w:pStyle w:val="null3"/>
      </w:pPr>
      <w:r>
        <w:rPr/>
        <w:t xml:space="preserve"> 联系电话： </w:t>
      </w:r>
      <w:r>
        <w:rPr/>
        <w:t>029-86252018（转805）</w:t>
      </w:r>
    </w:p>
    <w:p>
      <w:pPr>
        <w:pStyle w:val="null3"/>
        <w:outlineLvl w:val="3"/>
      </w:pPr>
      <w:r>
        <w:rPr>
          <w:sz w:val="24"/>
          <w:b/>
        </w:rPr>
        <w:t>采购监督机构：</w:t>
      </w:r>
      <w:r>
        <w:rPr>
          <w:sz w:val="24"/>
          <w:b/>
        </w:rPr>
        <w:t>西安浐灞国际港财政金融局</w:t>
      </w:r>
    </w:p>
    <w:p>
      <w:pPr>
        <w:pStyle w:val="null3"/>
        <w:ind w:firstLine="480"/>
      </w:pPr>
      <w:r>
        <w:rPr/>
        <w:t>联系人：</w:t>
      </w:r>
      <w:r>
        <w:rPr/>
        <w:t>袁老师</w:t>
      </w:r>
    </w:p>
    <w:p>
      <w:pPr>
        <w:pStyle w:val="null3"/>
        <w:ind w:firstLine="480"/>
      </w:pPr>
      <w:r>
        <w:rPr/>
        <w:t>联系电话：</w:t>
      </w:r>
      <w:r>
        <w:rPr/>
        <w:t>029-83521198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代理服务费收费标准：1、参照国家计委颁发的《招标代理服务收费管理暂行办法》（计价格[2002]1980号）和财政部颁发的《政府采购代理机构管理暂行办法》（财库[2018]2号）的有关规定执行。 2、招标代理服务费由成交供应商支付，在领取《成交通知书》前，由成交供应商一次性支付给陕西纵横项目管理有限公司。 3、招标代理服务费缴纳账户： 开户名称：陕西纵横项目管理有限公司 开户银行：浙商银行股份有限公司西安未央路支行 账号：7910000610120100029478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西安浐灞国际港公共服务局</w:t>
      </w:r>
      <w:r>
        <w:rPr/>
        <w:t>和</w:t>
      </w:r>
      <w:r>
        <w:rPr/>
        <w:t>陕西纵横项目管理有限公司</w:t>
      </w:r>
      <w:r>
        <w:rPr/>
        <w:t>享有。对磋商文件中供应商参加本次政府采购活动应当具备的条件，磋商项目技术、服务、商务及其他要求，评审细则及标准由</w:t>
      </w:r>
      <w:r>
        <w:rPr/>
        <w:t>西安浐灞国际港公共服务局</w:t>
      </w:r>
      <w:r>
        <w:rPr/>
        <w:t>负责解释。除上述磋商文件内容，其他内容由</w:t>
      </w:r>
      <w:r>
        <w:rPr/>
        <w:t>陕西纵横项目管理有限公司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西安浐灞国际港公共服务局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陕西纵横项目管理有限公司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无</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陕西纵横项目管理有限公司</w:t>
      </w:r>
      <w:r>
        <w:rPr/>
        <w:t xml:space="preserve"> 负责答复；供应商对除采购需求外的采购文件的询问、质疑由</w:t>
      </w:r>
      <w:r>
        <w:rPr/>
        <w:t>陕西纵横项目管理有限公司</w:t>
      </w:r>
      <w:r>
        <w:rPr/>
        <w:t xml:space="preserve"> 负责答复；供应商对采购过程、采购结果的询问、质疑由 </w:t>
      </w:r>
      <w:r>
        <w:rPr/>
        <w:t>陕西纵横项目管理有限公司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联系人：曹工</w:t>
      </w:r>
    </w:p>
    <w:p>
      <w:pPr>
        <w:pStyle w:val="null3"/>
      </w:pPr>
      <w:r>
        <w:rPr/>
        <w:t>联系电话：029-86252018转805</w:t>
      </w:r>
    </w:p>
    <w:p>
      <w:pPr>
        <w:pStyle w:val="null3"/>
      </w:pPr>
      <w:r>
        <w:rPr/>
        <w:t>地址：西安市经开区凤城五路赛高街区A座902室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陆港纪念公园位于欧亚大道以东，铁路北环线以南，占地约55亩，总建筑面积约8500㎡，其中地下建筑面积约7500㎡。是在倡导文明、节俭、低碳现代殡葬改革下，完善园区社会事业配套的惠民公益性公园。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1,480,000.00</w:t>
      </w:r>
    </w:p>
    <w:p>
      <w:pPr>
        <w:pStyle w:val="null3"/>
      </w:pPr>
      <w:r>
        <w:rPr/>
        <w:t>采购包最高限价（元）: 1,480,000.00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其他运营服务</w:t>
            </w:r>
          </w:p>
        </w:tc>
        <w:tc>
          <w:tcPr>
            <w:tcW w:type="dxa" w:w="831"/>
          </w:tcPr>
          <w:p>
            <w:pPr>
              <w:pStyle w:val="null3"/>
              <w:jc w:val="right"/>
            </w:pPr>
            <w:r>
              <w:rPr/>
              <w:t>1.00</w:t>
            </w:r>
          </w:p>
        </w:tc>
        <w:tc>
          <w:tcPr>
            <w:tcW w:type="dxa" w:w="831"/>
          </w:tcPr>
          <w:p>
            <w:pPr>
              <w:pStyle w:val="null3"/>
              <w:jc w:val="right"/>
            </w:pPr>
            <w:r>
              <w:rPr/>
              <w:t>1,480,000.00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标的名称：其他运营服务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b/>
                <w:color w:val="000000"/>
              </w:rPr>
              <w:t>一、项目概况</w:t>
            </w:r>
          </w:p>
          <w:p>
            <w:pPr>
              <w:pStyle w:val="null3"/>
              <w:ind w:firstLine="438"/>
            </w:pPr>
            <w:r>
              <w:rPr>
                <w:rFonts w:ascii="宋体" w:hAnsi="宋体" w:cs="宋体" w:eastAsia="宋体"/>
                <w:sz w:val="21"/>
                <w:color w:val="000000"/>
              </w:rPr>
              <w:t>陆港纪念公园位于欧亚大道以东，铁路北环线以南，占地约</w:t>
            </w:r>
            <w:r>
              <w:rPr>
                <w:rFonts w:ascii="宋体" w:hAnsi="宋体" w:cs="宋体" w:eastAsia="宋体"/>
                <w:sz w:val="21"/>
                <w:color w:val="000000"/>
              </w:rPr>
              <w:t>55亩，总建筑面积约8500㎡，其中地下建筑面积约7500㎡。是在倡导文明、节俭、低碳现代殡葬改革下，完善园区社会事业配套的惠民公益性公园。</w:t>
            </w:r>
          </w:p>
          <w:p>
            <w:pPr>
              <w:pStyle w:val="null3"/>
            </w:pPr>
            <w:r>
              <w:rPr>
                <w:rFonts w:ascii="宋体" w:hAnsi="宋体" w:cs="宋体" w:eastAsia="宋体"/>
                <w:sz w:val="21"/>
                <w:b/>
                <w:color w:val="000000"/>
              </w:rPr>
              <w:t>二、服务内容</w:t>
            </w:r>
          </w:p>
          <w:p>
            <w:pPr>
              <w:pStyle w:val="null3"/>
              <w:ind w:firstLine="438"/>
            </w:pPr>
            <w:r>
              <w:rPr>
                <w:rFonts w:ascii="宋体" w:hAnsi="宋体" w:cs="宋体" w:eastAsia="宋体"/>
                <w:sz w:val="21"/>
                <w:color w:val="000000"/>
              </w:rPr>
              <w:t>（</w:t>
            </w:r>
            <w:r>
              <w:rPr>
                <w:rFonts w:ascii="宋体" w:hAnsi="宋体" w:cs="宋体" w:eastAsia="宋体"/>
                <w:sz w:val="21"/>
                <w:color w:val="000000"/>
              </w:rPr>
              <w:t>1）</w:t>
            </w:r>
            <w:r>
              <w:rPr>
                <w:rFonts w:ascii="宋体" w:hAnsi="宋体" w:cs="宋体" w:eastAsia="宋体"/>
                <w:sz w:val="21"/>
                <w:color w:val="000000"/>
              </w:rPr>
              <w:t>本服务规划红线内属管理范围的</w:t>
            </w:r>
            <w:r>
              <w:rPr>
                <w:rFonts w:ascii="宋体" w:hAnsi="宋体" w:cs="宋体" w:eastAsia="宋体"/>
                <w:sz w:val="21"/>
                <w:color w:val="000000"/>
              </w:rPr>
              <w:t>（</w:t>
            </w:r>
            <w:r>
              <w:rPr>
                <w:rFonts w:ascii="宋体" w:hAnsi="宋体" w:cs="宋体" w:eastAsia="宋体"/>
                <w:sz w:val="21"/>
                <w:color w:val="000000"/>
              </w:rPr>
              <w:t>道路、室外上下水管道、化粪池、沟渠、池、井、绿化、室外泵房、路灯、自行车房棚、停车场</w:t>
            </w:r>
            <w:r>
              <w:rPr>
                <w:rFonts w:ascii="宋体" w:hAnsi="宋体" w:cs="宋体" w:eastAsia="宋体"/>
                <w:sz w:val="21"/>
                <w:color w:val="000000"/>
              </w:rPr>
              <w:t>）</w:t>
            </w:r>
            <w:r>
              <w:rPr>
                <w:rFonts w:ascii="宋体" w:hAnsi="宋体" w:cs="宋体" w:eastAsia="宋体"/>
                <w:sz w:val="21"/>
                <w:color w:val="000000"/>
              </w:rPr>
              <w:t>的日常维修、养护和管理。</w:t>
            </w:r>
          </w:p>
          <w:p>
            <w:pPr>
              <w:pStyle w:val="null3"/>
              <w:ind w:firstLine="438"/>
            </w:pPr>
            <w:r>
              <w:rPr>
                <w:rFonts w:ascii="宋体" w:hAnsi="宋体" w:cs="宋体" w:eastAsia="宋体"/>
                <w:sz w:val="21"/>
                <w:color w:val="000000"/>
              </w:rPr>
              <w:t>（</w:t>
            </w:r>
            <w:r>
              <w:rPr>
                <w:rFonts w:ascii="宋体" w:hAnsi="宋体" w:cs="宋体" w:eastAsia="宋体"/>
                <w:sz w:val="21"/>
                <w:color w:val="000000"/>
              </w:rPr>
              <w:t>2）</w:t>
            </w:r>
            <w:r>
              <w:rPr>
                <w:rFonts w:ascii="宋体" w:hAnsi="宋体" w:cs="宋体" w:eastAsia="宋体"/>
                <w:sz w:val="21"/>
                <w:color w:val="000000"/>
              </w:rPr>
              <w:t>房屋建筑本体设施设备</w:t>
            </w:r>
            <w:r>
              <w:rPr>
                <w:rFonts w:ascii="宋体" w:hAnsi="宋体" w:cs="宋体" w:eastAsia="宋体"/>
                <w:sz w:val="21"/>
                <w:color w:val="000000"/>
              </w:rPr>
              <w:t>（</w:t>
            </w:r>
            <w:r>
              <w:rPr>
                <w:rFonts w:ascii="宋体" w:hAnsi="宋体" w:cs="宋体" w:eastAsia="宋体"/>
                <w:sz w:val="21"/>
                <w:color w:val="000000"/>
              </w:rPr>
              <w:t>共用的上下水管道、落水管、垃圾道、烟囱、共用照明、天线、中央空调、暖气干线、供暖锅炉房、加压供水设备、配电系统、楼内消防设施设备、电梯、中水系统等</w:t>
            </w:r>
            <w:r>
              <w:rPr>
                <w:rFonts w:ascii="宋体" w:hAnsi="宋体" w:cs="宋体" w:eastAsia="宋体"/>
                <w:sz w:val="21"/>
                <w:color w:val="000000"/>
              </w:rPr>
              <w:t>）</w:t>
            </w:r>
            <w:r>
              <w:rPr>
                <w:rFonts w:ascii="宋体" w:hAnsi="宋体" w:cs="宋体" w:eastAsia="宋体"/>
                <w:sz w:val="21"/>
                <w:color w:val="000000"/>
              </w:rPr>
              <w:t>的维修、养护、管理和运行服务。</w:t>
            </w:r>
          </w:p>
          <w:p>
            <w:pPr>
              <w:pStyle w:val="null3"/>
              <w:ind w:firstLine="438"/>
            </w:pPr>
            <w:r>
              <w:rPr>
                <w:rFonts w:ascii="宋体" w:hAnsi="宋体" w:cs="宋体" w:eastAsia="宋体"/>
                <w:sz w:val="21"/>
                <w:color w:val="000000"/>
              </w:rPr>
              <w:t>（</w:t>
            </w:r>
            <w:r>
              <w:rPr>
                <w:rFonts w:ascii="宋体" w:hAnsi="宋体" w:cs="宋体" w:eastAsia="宋体"/>
                <w:sz w:val="21"/>
                <w:color w:val="000000"/>
              </w:rPr>
              <w:t>3）</w:t>
            </w:r>
            <w:r>
              <w:rPr>
                <w:rFonts w:ascii="宋体" w:hAnsi="宋体" w:cs="宋体" w:eastAsia="宋体"/>
                <w:sz w:val="21"/>
                <w:color w:val="000000"/>
              </w:rPr>
              <w:t>公共环境</w:t>
            </w:r>
            <w:r>
              <w:rPr>
                <w:rFonts w:ascii="宋体" w:hAnsi="宋体" w:cs="宋体" w:eastAsia="宋体"/>
                <w:sz w:val="21"/>
                <w:color w:val="000000"/>
              </w:rPr>
              <w:t>（</w:t>
            </w:r>
            <w:r>
              <w:rPr>
                <w:rFonts w:ascii="宋体" w:hAnsi="宋体" w:cs="宋体" w:eastAsia="宋体"/>
                <w:sz w:val="21"/>
                <w:color w:val="000000"/>
              </w:rPr>
              <w:t>包括公共场地、房屋建筑物共用部位</w:t>
            </w:r>
            <w:r>
              <w:rPr>
                <w:rFonts w:ascii="宋体" w:hAnsi="宋体" w:cs="宋体" w:eastAsia="宋体"/>
                <w:sz w:val="21"/>
                <w:color w:val="000000"/>
              </w:rPr>
              <w:t>）</w:t>
            </w:r>
            <w:r>
              <w:rPr>
                <w:rFonts w:ascii="宋体" w:hAnsi="宋体" w:cs="宋体" w:eastAsia="宋体"/>
                <w:sz w:val="21"/>
                <w:color w:val="000000"/>
              </w:rPr>
              <w:t>的清洁卫生、垃圾的收集、清运。</w:t>
            </w:r>
          </w:p>
          <w:p>
            <w:pPr>
              <w:pStyle w:val="null3"/>
              <w:ind w:firstLine="438"/>
            </w:pPr>
            <w:r>
              <w:rPr>
                <w:rFonts w:ascii="宋体" w:hAnsi="宋体" w:cs="宋体" w:eastAsia="宋体"/>
                <w:sz w:val="21"/>
                <w:color w:val="000000"/>
              </w:rPr>
              <w:t>（</w:t>
            </w:r>
            <w:r>
              <w:rPr>
                <w:rFonts w:ascii="宋体" w:hAnsi="宋体" w:cs="宋体" w:eastAsia="宋体"/>
                <w:sz w:val="21"/>
                <w:color w:val="000000"/>
              </w:rPr>
              <w:t>4）</w:t>
            </w:r>
            <w:r>
              <w:rPr>
                <w:rFonts w:ascii="宋体" w:hAnsi="宋体" w:cs="宋体" w:eastAsia="宋体"/>
                <w:sz w:val="21"/>
                <w:color w:val="000000"/>
              </w:rPr>
              <w:t>交通、车辆行驶及室内外停车场管理。</w:t>
            </w:r>
          </w:p>
          <w:p>
            <w:pPr>
              <w:pStyle w:val="null3"/>
              <w:ind w:firstLine="438"/>
            </w:pPr>
            <w:r>
              <w:rPr>
                <w:rFonts w:ascii="宋体" w:hAnsi="宋体" w:cs="宋体" w:eastAsia="宋体"/>
                <w:sz w:val="21"/>
                <w:color w:val="000000"/>
              </w:rPr>
              <w:t>（</w:t>
            </w:r>
            <w:r>
              <w:rPr>
                <w:rFonts w:ascii="宋体" w:hAnsi="宋体" w:cs="宋体" w:eastAsia="宋体"/>
                <w:sz w:val="21"/>
                <w:color w:val="000000"/>
              </w:rPr>
              <w:t>5）负责园内安全监控和巡视等安保工作及全部安全生产责任（包含人身、私有财产保险保管等所有责任）。</w:t>
            </w:r>
          </w:p>
          <w:p>
            <w:pPr>
              <w:pStyle w:val="null3"/>
              <w:ind w:firstLine="438"/>
            </w:pPr>
            <w:r>
              <w:rPr>
                <w:rFonts w:ascii="宋体" w:hAnsi="宋体" w:cs="宋体" w:eastAsia="宋体"/>
                <w:sz w:val="21"/>
                <w:color w:val="000000"/>
              </w:rPr>
              <w:t>（</w:t>
            </w:r>
            <w:r>
              <w:rPr>
                <w:rFonts w:ascii="宋体" w:hAnsi="宋体" w:cs="宋体" w:eastAsia="宋体"/>
                <w:sz w:val="21"/>
                <w:color w:val="000000"/>
              </w:rPr>
              <w:t>6）负责骨灰纪念堂骨灰存放经营性管理工作，重点做好清明节、寒衣节等重要节日服务保障工作。</w:t>
            </w:r>
          </w:p>
          <w:p>
            <w:pPr>
              <w:pStyle w:val="null3"/>
              <w:ind w:firstLine="438"/>
            </w:pPr>
            <w:r>
              <w:rPr>
                <w:rFonts w:ascii="宋体" w:hAnsi="宋体" w:cs="宋体" w:eastAsia="宋体"/>
                <w:sz w:val="21"/>
                <w:color w:val="000000"/>
              </w:rPr>
              <w:t>（</w:t>
            </w:r>
            <w:r>
              <w:rPr>
                <w:rFonts w:ascii="宋体" w:hAnsi="宋体" w:cs="宋体" w:eastAsia="宋体"/>
                <w:sz w:val="21"/>
                <w:color w:val="000000"/>
              </w:rPr>
              <w:t>7）负责保管存放档案等资料。</w:t>
            </w:r>
          </w:p>
          <w:p>
            <w:pPr>
              <w:pStyle w:val="null3"/>
              <w:ind w:firstLine="438"/>
            </w:pPr>
            <w:r>
              <w:rPr>
                <w:rFonts w:ascii="宋体" w:hAnsi="宋体" w:cs="宋体" w:eastAsia="宋体"/>
                <w:sz w:val="21"/>
                <w:color w:val="000000"/>
              </w:rPr>
              <w:t>（</w:t>
            </w:r>
            <w:r>
              <w:rPr>
                <w:rFonts w:ascii="宋体" w:hAnsi="宋体" w:cs="宋体" w:eastAsia="宋体"/>
                <w:sz w:val="21"/>
                <w:color w:val="000000"/>
              </w:rPr>
              <w:t>8）负责西安市殡葬服务平台建设、运行及日常管理等工作，推行信息化建设。</w:t>
            </w:r>
          </w:p>
          <w:p>
            <w:pPr>
              <w:pStyle w:val="null3"/>
              <w:ind w:firstLine="438"/>
            </w:pPr>
            <w:r>
              <w:rPr>
                <w:rFonts w:ascii="宋体" w:hAnsi="宋体" w:cs="宋体" w:eastAsia="宋体"/>
                <w:sz w:val="21"/>
                <w:color w:val="000000"/>
              </w:rPr>
              <w:t>（</w:t>
            </w:r>
            <w:r>
              <w:rPr>
                <w:rFonts w:ascii="宋体" w:hAnsi="宋体" w:cs="宋体" w:eastAsia="宋体"/>
                <w:sz w:val="21"/>
                <w:color w:val="000000"/>
              </w:rPr>
              <w:t>9）负责开展殡葬改革宣传，推进移风易俗等宣传工作，推动殡葬改革。</w:t>
            </w:r>
          </w:p>
          <w:p>
            <w:pPr>
              <w:pStyle w:val="null3"/>
              <w:ind w:firstLine="438"/>
            </w:pPr>
            <w:r>
              <w:rPr>
                <w:rFonts w:ascii="宋体" w:hAnsi="宋体" w:cs="宋体" w:eastAsia="宋体"/>
                <w:sz w:val="21"/>
                <w:color w:val="000000"/>
              </w:rPr>
              <w:t>（</w:t>
            </w:r>
            <w:r>
              <w:rPr>
                <w:rFonts w:ascii="宋体" w:hAnsi="宋体" w:cs="宋体" w:eastAsia="宋体"/>
                <w:sz w:val="21"/>
                <w:color w:val="000000"/>
              </w:rPr>
              <w:t>10）甲方指定的其他与该项目有关事项。</w:t>
            </w:r>
          </w:p>
          <w:p>
            <w:pPr>
              <w:pStyle w:val="null3"/>
            </w:pPr>
            <w:r>
              <w:rPr>
                <w:rFonts w:ascii="宋体" w:hAnsi="宋体" w:cs="宋体" w:eastAsia="宋体"/>
                <w:sz w:val="21"/>
                <w:b/>
                <w:color w:val="000000"/>
              </w:rPr>
              <w:t>三、服务要求</w:t>
            </w:r>
          </w:p>
          <w:p>
            <w:pPr>
              <w:pStyle w:val="null3"/>
              <w:ind w:firstLine="438"/>
            </w:pPr>
            <w:r>
              <w:rPr>
                <w:rFonts w:ascii="宋体" w:hAnsi="宋体" w:cs="宋体" w:eastAsia="宋体"/>
                <w:sz w:val="21"/>
                <w:color w:val="000000"/>
              </w:rPr>
              <w:t>（</w:t>
            </w:r>
            <w:r>
              <w:rPr>
                <w:rFonts w:ascii="宋体" w:hAnsi="宋体" w:cs="宋体" w:eastAsia="宋体"/>
                <w:sz w:val="21"/>
                <w:color w:val="000000"/>
              </w:rPr>
              <w:t>1）人员要求</w:t>
            </w:r>
          </w:p>
          <w:p>
            <w:pPr>
              <w:pStyle w:val="null3"/>
              <w:ind w:firstLine="438"/>
            </w:pPr>
            <w:r>
              <w:rPr>
                <w:rFonts w:ascii="宋体" w:hAnsi="宋体" w:cs="宋体" w:eastAsia="宋体"/>
                <w:sz w:val="21"/>
                <w:color w:val="000000"/>
              </w:rPr>
              <w:t>人员配备最低为</w:t>
            </w:r>
            <w:r>
              <w:rPr>
                <w:rFonts w:ascii="宋体" w:hAnsi="宋体" w:cs="宋体" w:eastAsia="宋体"/>
                <w:sz w:val="21"/>
                <w:color w:val="000000"/>
              </w:rPr>
              <w:t>12人（其中项目经理1名</w:t>
            </w:r>
            <w:r>
              <w:rPr>
                <w:rFonts w:ascii="宋体" w:hAnsi="宋体" w:cs="宋体" w:eastAsia="宋体"/>
                <w:sz w:val="21"/>
                <w:color w:val="000000"/>
              </w:rPr>
              <w:t>、</w:t>
            </w:r>
            <w:r>
              <w:rPr>
                <w:rFonts w:ascii="宋体" w:hAnsi="宋体" w:cs="宋体" w:eastAsia="宋体"/>
                <w:sz w:val="21"/>
                <w:color w:val="000000"/>
              </w:rPr>
              <w:t>办公室</w:t>
            </w:r>
            <w:r>
              <w:rPr>
                <w:rFonts w:ascii="宋体" w:hAnsi="宋体" w:cs="宋体" w:eastAsia="宋体"/>
                <w:sz w:val="21"/>
                <w:color w:val="000000"/>
              </w:rPr>
              <w:t>1名</w:t>
            </w:r>
            <w:r>
              <w:rPr>
                <w:rFonts w:ascii="宋体" w:hAnsi="宋体" w:cs="宋体" w:eastAsia="宋体"/>
                <w:sz w:val="21"/>
                <w:color w:val="000000"/>
              </w:rPr>
              <w:t>、</w:t>
            </w:r>
            <w:r>
              <w:rPr>
                <w:rFonts w:ascii="宋体" w:hAnsi="宋体" w:cs="宋体" w:eastAsia="宋体"/>
                <w:sz w:val="21"/>
                <w:color w:val="000000"/>
              </w:rPr>
              <w:t>客服</w:t>
            </w:r>
            <w:r>
              <w:rPr>
                <w:rFonts w:ascii="宋体" w:hAnsi="宋体" w:cs="宋体" w:eastAsia="宋体"/>
                <w:sz w:val="21"/>
                <w:color w:val="000000"/>
              </w:rPr>
              <w:t>1名</w:t>
            </w:r>
            <w:r>
              <w:rPr>
                <w:rFonts w:ascii="宋体" w:hAnsi="宋体" w:cs="宋体" w:eastAsia="宋体"/>
                <w:sz w:val="21"/>
                <w:color w:val="000000"/>
              </w:rPr>
              <w:t>、</w:t>
            </w:r>
            <w:r>
              <w:rPr>
                <w:rFonts w:ascii="宋体" w:hAnsi="宋体" w:cs="宋体" w:eastAsia="宋体"/>
                <w:sz w:val="21"/>
                <w:color w:val="000000"/>
              </w:rPr>
              <w:t>工程维修</w:t>
            </w:r>
            <w:r>
              <w:rPr>
                <w:rFonts w:ascii="宋体" w:hAnsi="宋体" w:cs="宋体" w:eastAsia="宋体"/>
                <w:sz w:val="21"/>
                <w:color w:val="000000"/>
              </w:rPr>
              <w:t>1名、秩序维护员6名、保洁员2名）。</w:t>
            </w:r>
          </w:p>
          <w:p>
            <w:pPr>
              <w:pStyle w:val="null3"/>
              <w:ind w:firstLine="438"/>
            </w:pPr>
            <w:r>
              <w:rPr>
                <w:rFonts w:ascii="宋体" w:hAnsi="宋体" w:cs="宋体" w:eastAsia="宋体"/>
                <w:sz w:val="21"/>
                <w:color w:val="000000"/>
              </w:rPr>
              <w:t>（</w:t>
            </w:r>
            <w:r>
              <w:rPr>
                <w:rFonts w:ascii="宋体" w:hAnsi="宋体" w:cs="宋体" w:eastAsia="宋体"/>
                <w:sz w:val="21"/>
                <w:color w:val="000000"/>
              </w:rPr>
              <w:t>2）管理要求</w:t>
            </w:r>
          </w:p>
          <w:p>
            <w:pPr>
              <w:pStyle w:val="null3"/>
              <w:ind w:firstLine="438"/>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建立质量管理体系，健全各项管理制度，明确岗位职责、岗位工作标准，落实奖罚措施及考核办法。</w:t>
            </w:r>
          </w:p>
          <w:p>
            <w:pPr>
              <w:pStyle w:val="null3"/>
              <w:ind w:firstLine="438"/>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公开服务标准、公示服务、监督联系电话。</w:t>
            </w:r>
          </w:p>
          <w:p>
            <w:pPr>
              <w:pStyle w:val="null3"/>
              <w:ind w:firstLine="438"/>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所有员工统一着装，佩带标志，规范标准服务用语。</w:t>
            </w:r>
          </w:p>
          <w:p>
            <w:pPr>
              <w:pStyle w:val="null3"/>
              <w:ind w:firstLine="438"/>
            </w:pPr>
            <w:r>
              <w:rPr>
                <w:rFonts w:ascii="宋体" w:hAnsi="宋体" w:cs="宋体" w:eastAsia="宋体"/>
                <w:sz w:val="21"/>
                <w:color w:val="000000"/>
              </w:rPr>
              <w:t>4</w:t>
            </w:r>
            <w:r>
              <w:rPr>
                <w:rFonts w:ascii="宋体" w:hAnsi="宋体" w:cs="宋体" w:eastAsia="宋体"/>
                <w:sz w:val="21"/>
                <w:color w:val="000000"/>
              </w:rPr>
              <w:t>、</w:t>
            </w:r>
            <w:r>
              <w:rPr>
                <w:rFonts w:ascii="宋体" w:hAnsi="宋体" w:cs="宋体" w:eastAsia="宋体"/>
                <w:sz w:val="21"/>
                <w:color w:val="000000"/>
              </w:rPr>
              <w:t>员工录用必须符合入职政审的相关规定，无犯罪记录。凡国家有关法规规定需持证上岗的，都应具有相应法规规定有效资格证书。</w:t>
            </w:r>
          </w:p>
          <w:p>
            <w:pPr>
              <w:pStyle w:val="null3"/>
              <w:ind w:firstLine="438"/>
            </w:pPr>
            <w:r>
              <w:rPr>
                <w:rFonts w:ascii="宋体" w:hAnsi="宋体" w:cs="宋体" w:eastAsia="宋体"/>
                <w:sz w:val="21"/>
                <w:color w:val="000000"/>
              </w:rPr>
              <w:t>（</w:t>
            </w:r>
            <w:r>
              <w:rPr>
                <w:rFonts w:ascii="宋体" w:hAnsi="宋体" w:cs="宋体" w:eastAsia="宋体"/>
                <w:sz w:val="21"/>
                <w:color w:val="000000"/>
              </w:rPr>
              <w:t>3）环境卫生</w:t>
            </w:r>
          </w:p>
          <w:p>
            <w:pPr>
              <w:pStyle w:val="null3"/>
              <w:ind w:firstLine="438"/>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公共区域地面及附属物：每日两扫，全天保洁，地面干净整洁，无卫生死角，地面洁净显光泽；无灰尘、无废弃物、无污迹、无痰迹、无水渍及粘附物、无垃圾、无烟头、无泥沙等；</w:t>
            </w:r>
          </w:p>
          <w:p>
            <w:pPr>
              <w:pStyle w:val="null3"/>
              <w:ind w:firstLine="438"/>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公共区域的门窗、玻璃：每月擦洗一次公共区域内非高空区的门窗、玻璃；</w:t>
            </w:r>
          </w:p>
          <w:p>
            <w:pPr>
              <w:pStyle w:val="null3"/>
              <w:ind w:firstLine="438"/>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公共区域卫生间：清扫卫生间内所有设施设备，保证卫生间无异味。洗手盆，台面，镜面每天清洁一次；每个格挡内的垃圾桶每天倒至少两次，随满随倒；地面每天拖两次；门板及拉手每天擦一次；</w:t>
            </w:r>
          </w:p>
          <w:p>
            <w:pPr>
              <w:pStyle w:val="null3"/>
              <w:ind w:firstLine="438"/>
            </w:pPr>
            <w:r>
              <w:rPr>
                <w:rFonts w:ascii="宋体" w:hAnsi="宋体" w:cs="宋体" w:eastAsia="宋体"/>
                <w:sz w:val="21"/>
                <w:color w:val="000000"/>
              </w:rPr>
              <w:t>4</w:t>
            </w:r>
            <w:r>
              <w:rPr>
                <w:rFonts w:ascii="宋体" w:hAnsi="宋体" w:cs="宋体" w:eastAsia="宋体"/>
                <w:sz w:val="21"/>
                <w:color w:val="000000"/>
              </w:rPr>
              <w:t>、</w:t>
            </w:r>
            <w:r>
              <w:rPr>
                <w:rFonts w:ascii="宋体" w:hAnsi="宋体" w:cs="宋体" w:eastAsia="宋体"/>
                <w:sz w:val="21"/>
                <w:color w:val="000000"/>
              </w:rPr>
              <w:t>楼梯扶手、楼梯下区域：每天擦洗一次，及时发现并清理楼梯下堆放的杂物、垃圾；楼梯扶手干净无灰尘，无污物。</w:t>
            </w:r>
          </w:p>
          <w:p>
            <w:pPr>
              <w:pStyle w:val="null3"/>
              <w:ind w:firstLine="438"/>
            </w:pPr>
            <w:r>
              <w:rPr>
                <w:rFonts w:ascii="宋体" w:hAnsi="宋体" w:cs="宋体" w:eastAsia="宋体"/>
                <w:sz w:val="21"/>
                <w:color w:val="000000"/>
              </w:rPr>
              <w:t>（</w:t>
            </w:r>
            <w:r>
              <w:rPr>
                <w:rFonts w:ascii="宋体" w:hAnsi="宋体" w:cs="宋体" w:eastAsia="宋体"/>
                <w:sz w:val="21"/>
                <w:color w:val="000000"/>
              </w:rPr>
              <w:t>4）秩序维护</w:t>
            </w:r>
          </w:p>
          <w:p>
            <w:pPr>
              <w:pStyle w:val="null3"/>
              <w:ind w:firstLine="438"/>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工作中需着装整齐、精神饱满的负责本职位值勤工作，上班务必严守工作纪律；</w:t>
            </w:r>
          </w:p>
          <w:p>
            <w:pPr>
              <w:pStyle w:val="null3"/>
              <w:ind w:firstLine="438"/>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坚守本职岗位，文明规范执勤，保持良好仪表仪容与精神状态；</w:t>
            </w:r>
          </w:p>
          <w:p>
            <w:pPr>
              <w:pStyle w:val="null3"/>
              <w:ind w:firstLine="438"/>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有人员及车辆的来访、出入记录，并严格按照疫情防控要求进行检查；</w:t>
            </w:r>
          </w:p>
          <w:p>
            <w:pPr>
              <w:pStyle w:val="null3"/>
              <w:ind w:firstLine="438"/>
            </w:pPr>
            <w:r>
              <w:rPr>
                <w:rFonts w:ascii="宋体" w:hAnsi="宋体" w:cs="宋体" w:eastAsia="宋体"/>
                <w:sz w:val="21"/>
                <w:color w:val="000000"/>
              </w:rPr>
              <w:t>4</w:t>
            </w:r>
            <w:r>
              <w:rPr>
                <w:rFonts w:ascii="宋体" w:hAnsi="宋体" w:cs="宋体" w:eastAsia="宋体"/>
                <w:sz w:val="21"/>
                <w:color w:val="000000"/>
              </w:rPr>
              <w:t>、</w:t>
            </w:r>
            <w:r>
              <w:rPr>
                <w:rFonts w:ascii="宋体" w:hAnsi="宋体" w:cs="宋体" w:eastAsia="宋体"/>
                <w:sz w:val="21"/>
                <w:color w:val="000000"/>
              </w:rPr>
              <w:t>执勤需进行巡查，巡逻人员在工作守则的指导下，在规定时间按照规定路线进行巡视，在遇到突发情况时按照应急要求进行处理。</w:t>
            </w:r>
          </w:p>
          <w:p>
            <w:pPr>
              <w:pStyle w:val="null3"/>
              <w:ind w:firstLine="438"/>
            </w:pPr>
            <w:r>
              <w:rPr>
                <w:rFonts w:ascii="宋体" w:hAnsi="宋体" w:cs="宋体" w:eastAsia="宋体"/>
                <w:sz w:val="21"/>
                <w:color w:val="000000"/>
              </w:rPr>
              <w:t>（</w:t>
            </w:r>
            <w:r>
              <w:rPr>
                <w:rFonts w:ascii="宋体" w:hAnsi="宋体" w:cs="宋体" w:eastAsia="宋体"/>
                <w:sz w:val="21"/>
                <w:color w:val="000000"/>
              </w:rPr>
              <w:t>5）工程维修</w:t>
            </w:r>
          </w:p>
          <w:p>
            <w:pPr>
              <w:pStyle w:val="null3"/>
              <w:ind w:firstLine="438"/>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设施设备运行良好，有运行记录；有保养、检修制度，并在工作场所明示。</w:t>
            </w:r>
          </w:p>
          <w:p>
            <w:pPr>
              <w:pStyle w:val="null3"/>
              <w:ind w:firstLine="438"/>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设备运行严格执行操作规程，无重大管理责任事故。有突发事件应急处理措施和处理记录。</w:t>
            </w:r>
          </w:p>
          <w:p>
            <w:pPr>
              <w:pStyle w:val="null3"/>
              <w:ind w:firstLine="438"/>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维修人员每日对公用设施设备进行巡视，并有巡检记录。</w:t>
            </w:r>
          </w:p>
          <w:p>
            <w:pPr>
              <w:pStyle w:val="null3"/>
              <w:ind w:firstLine="438"/>
            </w:pPr>
            <w:r>
              <w:rPr>
                <w:rFonts w:ascii="宋体" w:hAnsi="宋体" w:cs="宋体" w:eastAsia="宋体"/>
                <w:sz w:val="21"/>
                <w:color w:val="000000"/>
              </w:rPr>
              <w:t>4</w:t>
            </w:r>
            <w:r>
              <w:rPr>
                <w:rFonts w:ascii="宋体" w:hAnsi="宋体" w:cs="宋体" w:eastAsia="宋体"/>
                <w:sz w:val="21"/>
                <w:color w:val="000000"/>
              </w:rPr>
              <w:t>、</w:t>
            </w:r>
            <w:r>
              <w:rPr>
                <w:rFonts w:ascii="宋体" w:hAnsi="宋体" w:cs="宋体" w:eastAsia="宋体"/>
                <w:sz w:val="21"/>
                <w:color w:val="000000"/>
              </w:rPr>
              <w:t>为了节约用电，办公楼灯光按规定时间开关。</w:t>
            </w:r>
          </w:p>
          <w:p>
            <w:pPr>
              <w:pStyle w:val="null3"/>
            </w:pPr>
            <w:r>
              <w:rPr>
                <w:rFonts w:ascii="宋体" w:hAnsi="宋体" w:cs="宋体" w:eastAsia="宋体"/>
                <w:sz w:val="21"/>
                <w:b/>
                <w:color w:val="000000"/>
              </w:rPr>
              <w:t>四、技术要求</w:t>
            </w:r>
          </w:p>
          <w:p>
            <w:pPr>
              <w:pStyle w:val="null3"/>
            </w:pPr>
            <w:r>
              <w:rPr>
                <w:rFonts w:ascii="宋体" w:hAnsi="宋体" w:cs="宋体" w:eastAsia="宋体"/>
                <w:sz w:val="21"/>
                <w:color w:val="000000"/>
              </w:rPr>
              <w:t>符合国家法律法规规定的标准、采购文件和</w:t>
            </w:r>
            <w:r>
              <w:rPr>
                <w:rFonts w:ascii="宋体" w:hAnsi="宋体" w:cs="宋体" w:eastAsia="宋体"/>
                <w:sz w:val="21"/>
                <w:color w:val="000000"/>
              </w:rPr>
              <w:t>供应商</w:t>
            </w:r>
            <w:r>
              <w:rPr>
                <w:rFonts w:ascii="宋体" w:hAnsi="宋体" w:cs="宋体" w:eastAsia="宋体"/>
                <w:sz w:val="21"/>
                <w:color w:val="000000"/>
              </w:rPr>
              <w:t>响应文件所要求的技术标准。</w:t>
            </w:r>
          </w:p>
        </w:tc>
      </w:tr>
    </w:tbl>
    <w:p>
      <w:pPr>
        <w:pStyle w:val="null3"/>
        <w:outlineLvl w:val="2"/>
      </w:pPr>
      <w:r>
        <w:rPr>
          <w:sz w:val="28"/>
          <w:b/>
        </w:rPr>
        <w:t>3.2.3人员配置要求</w:t>
      </w:r>
    </w:p>
    <w:p>
      <w:pPr>
        <w:pStyle w:val="null3"/>
      </w:pPr>
      <w:r>
        <w:rPr/>
        <w:t>采购包1：</w:t>
      </w:r>
    </w:p>
    <w:p>
      <w:pPr>
        <w:pStyle w:val="null3"/>
      </w:pPr>
      <w:r>
        <w:rPr/>
        <w:t>详见3.2.2服务要求</w:t>
      </w:r>
    </w:p>
    <w:p>
      <w:pPr>
        <w:pStyle w:val="null3"/>
        <w:outlineLvl w:val="2"/>
      </w:pPr>
      <w:r>
        <w:rPr>
          <w:sz w:val="28"/>
          <w:b/>
        </w:rPr>
        <w:t>3.2.4设施设备要求</w:t>
      </w:r>
    </w:p>
    <w:p>
      <w:pPr>
        <w:pStyle w:val="null3"/>
      </w:pPr>
      <w:r>
        <w:rPr/>
        <w:t>采购包1：</w:t>
      </w:r>
    </w:p>
    <w:p>
      <w:pPr>
        <w:pStyle w:val="null3"/>
      </w:pPr>
      <w:r>
        <w:rPr/>
        <w:t>详见3.2.2服务要求</w:t>
      </w:r>
    </w:p>
    <w:p>
      <w:pPr>
        <w:pStyle w:val="null3"/>
        <w:outlineLvl w:val="2"/>
      </w:pPr>
      <w:r>
        <w:rPr>
          <w:sz w:val="28"/>
          <w:b/>
        </w:rPr>
        <w:t>3.2.5其他要求</w:t>
      </w:r>
    </w:p>
    <w:p>
      <w:pPr>
        <w:pStyle w:val="null3"/>
      </w:pPr>
      <w:r>
        <w:rPr/>
        <w:t>采购包1：</w:t>
      </w:r>
    </w:p>
    <w:p>
      <w:pPr>
        <w:pStyle w:val="null3"/>
      </w:pPr>
      <w:r>
        <w:rPr/>
        <w:t>详见3.2.2服务要求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服务期：自合同签订之日起一年。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1.考核验收每半年进行一次，考核形式采取定期考核与不定期考核相结合。 2.考核内容主要为合同履行率，具体包括人员到岗率、工作质量、工作效率、服务态度等。实行百分制，采取现场检查、查阅工作资料、实地调查等方式进行，根据考核情况进行综合评定，80分（含）以上为合格，80分以下为不合格。</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合同履行满半年后经甲方确定乙方服务合格</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服务期限结束后经甲方验收合格</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违约责任：1、按《中华人民共和国民法典》中的相关条款执行。2、违约终止合同：因乙方未按合同要求提供服务或服务质量不能满足技术要求，甲方会同监督机构有权终止合同，对乙方违约行为进行追究，同时按政府采购法的有关规定进行相应的处罚。 争议解决：合同执行中发生争议的，当事人双方应协商解决。协商达不成一致时，可向有管辖权的人民法院提起诉讼。</w:t>
      </w:r>
    </w:p>
    <w:p>
      <w:pPr>
        <w:pStyle w:val="null3"/>
        <w:outlineLvl w:val="2"/>
      </w:pPr>
      <w:r>
        <w:rPr>
          <w:sz w:val="28"/>
          <w:b/>
        </w:rPr>
        <w:t>3.4其他要求</w:t>
      </w:r>
    </w:p>
    <w:p>
      <w:pPr>
        <w:pStyle w:val="null3"/>
      </w:pPr>
      <w:r>
        <w:rPr/>
        <w:t>（1）磋商报价是供应商应在磋商报价表中标明完成本项目所要求内容且验收合格的所有费用，总价包括但不限于人工费、服务费、维修费、材料费、安保费、管理费、验收费、采购代理服务费、资料费、利润、税金及不可预见费等全部费用。任何有选择的报价将不予接受，否则按无效磋商处理。 （2）本项目所属行业为：其他未列明行业。从业人员300人以下的为中小微型企业。其中，从业人员100人及以上的为中型企业；从业人员10人及以上的为小型企业；从业人员10人以下的为微型企业。 （3）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（4）本项目是否属于信用担保试点范围：否。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提供2023年度经审计的财务会计报告（至少包括审计报告、资产负债表和利润表，成立时间至提交磋商响应文件截止时间不足一年的可提供成立后任意时段的资产负债表）；2、或提供供应商开户许可证（或基本存款账户信息）及开标日期前三个月内其基本存款账户开户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法定代表人授权书/法定代表人身份证明</w:t>
            </w:r>
          </w:p>
        </w:tc>
        <w:tc>
          <w:tcPr>
            <w:tcW w:type="dxa" w:w="3322"/>
          </w:tcPr>
          <w:p>
            <w:pPr>
              <w:pStyle w:val="null3"/>
            </w:pPr>
            <w:r>
              <w:rPr/>
              <w:t>法定代表人委托授权书：法定代表人授权书（附法定代表人、被授权人身份证复印件）及被授权人身份证（法定代表人直接参加磋商，须提供法定代表人身份证明及身份证）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联合体</w:t>
            </w:r>
          </w:p>
        </w:tc>
        <w:tc>
          <w:tcPr>
            <w:tcW w:type="dxa" w:w="3322"/>
          </w:tcPr>
          <w:p>
            <w:pPr>
              <w:pStyle w:val="null3"/>
            </w:pPr>
            <w:r>
              <w:rPr/>
              <w:t>本项目不接受联合体磋商，不允许分包</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响应文件封面 资格证明文件 声明函 业绩 标的清单 陕西省政府采购供应商拒绝政府采购领域商业贿赂承诺书 报价表 磋商报价表 响应函 商务条款偏离表</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响应文件封面 资格证明文件 声明函 业绩 其它说明 标的清单 陕西省政府采购供应商拒绝政府采购领域商业贿赂承诺书 报价表 磋商报价表 响应函 商务条款偏离表 磋商方案说明书</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只能有一个有效报价，不得提交选择性报价，且报价不超过采购预算金额或单价最高限价</w:t>
            </w:r>
          </w:p>
        </w:tc>
        <w:tc>
          <w:tcPr>
            <w:tcW w:type="dxa" w:w="1661"/>
          </w:tcPr>
          <w:p>
            <w:pPr>
              <w:pStyle w:val="null3"/>
            </w:pPr>
            <w:r>
              <w:rPr/>
              <w:t>标的清单 报价表 磋商报价表</w:t>
            </w:r>
          </w:p>
        </w:tc>
      </w:tr>
      <w:tr>
        <w:tc>
          <w:tcPr>
            <w:tcW w:type="dxa" w:w="831"/>
          </w:tcPr>
          <w:p>
            <w:pPr>
              <w:pStyle w:val="null3"/>
            </w:pPr>
            <w:r>
              <w:rPr/>
              <w:t>5</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响应文件封面 资格证明文件 声明函 业绩 其它说明 标的清单 陕西省政府采购供应商拒绝政府采购领域商业贿赂承诺书 报价表 磋商报价表 响应函 商务条款偏离表 磋商方案说明书</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 声明函 业绩 其它说明 标的清单 陕西省政府采购供应商拒绝政府采购领域商业贿赂承诺书 报价表 磋商报价表 响应函 商务条款偏离表 磋商方案说明书</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商务条款偏离表</w:t>
            </w:r>
          </w:p>
        </w:tc>
      </w:tr>
      <w:tr>
        <w:tc>
          <w:tcPr>
            <w:tcW w:type="dxa" w:w="831"/>
          </w:tcPr>
          <w:p>
            <w:pPr>
              <w:pStyle w:val="null3"/>
            </w:pPr>
            <w:r>
              <w:rPr/>
              <w:t>8</w:t>
            </w:r>
          </w:p>
        </w:tc>
        <w:tc>
          <w:tcPr>
            <w:tcW w:type="dxa" w:w="2492"/>
          </w:tcPr>
          <w:p>
            <w:pPr>
              <w:pStyle w:val="null3"/>
            </w:pPr>
            <w:r>
              <w:rPr/>
              <w:t>服务地点</w:t>
            </w:r>
          </w:p>
        </w:tc>
        <w:tc>
          <w:tcPr>
            <w:tcW w:type="dxa" w:w="3322"/>
          </w:tcPr>
          <w:p>
            <w:pPr>
              <w:pStyle w:val="null3"/>
            </w:pPr>
            <w:r>
              <w:rPr/>
              <w:t>应满足竞争性磋商文件中要求的服务地点</w:t>
            </w:r>
          </w:p>
        </w:tc>
        <w:tc>
          <w:tcPr>
            <w:tcW w:type="dxa" w:w="1661"/>
          </w:tcPr>
          <w:p>
            <w:pPr>
              <w:pStyle w:val="null3"/>
            </w:pPr>
            <w:r>
              <w:rPr/>
              <w:t>商务条款偏离表</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 商务条款偏离表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则由全体磋商小组成员无记名投票，得票高者排序在前。</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环境卫生管理</w:t>
            </w:r>
          </w:p>
        </w:tc>
        <w:tc>
          <w:tcPr>
            <w:tcW w:type="dxa" w:w="2492"/>
          </w:tcPr>
          <w:p>
            <w:pPr>
              <w:pStyle w:val="null3"/>
            </w:pPr>
            <w:r>
              <w:rPr/>
              <w:t>提供针对公园内各个环境区域的环卫、保洁、环境消杀、四害防治、垃圾清运的服务方案。 方案科学合理、可操作性强、措施完善得4-7分； 方案基本合理，有一定针对性和可操作性，得2-4分； 方案不合理、无可操作性，得1-2分。 未提供或完全脱离项目实际的不得分。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秩序维护管理</w:t>
            </w:r>
          </w:p>
        </w:tc>
        <w:tc>
          <w:tcPr>
            <w:tcW w:type="dxa" w:w="2492"/>
          </w:tcPr>
          <w:p>
            <w:pPr>
              <w:pStyle w:val="null3"/>
            </w:pPr>
            <w:r>
              <w:rPr/>
              <w:t>对出入人员、车辆进行登记和有序指引，定时巡查，包括但不限于值班、检查、秩序维护、突发事件处置。 方案科学合理、可操作性强、措施完善得4-7分； 方案基本合理，有一定针对性和可操作性，得2-4分； 方案不合理、无可操作性，得1-2分。 未提供或完全脱离项目实际的不得分。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工程维修管理</w:t>
            </w:r>
          </w:p>
        </w:tc>
        <w:tc>
          <w:tcPr>
            <w:tcW w:type="dxa" w:w="2492"/>
          </w:tcPr>
          <w:p>
            <w:pPr>
              <w:pStyle w:val="null3"/>
            </w:pPr>
            <w:r>
              <w:rPr/>
              <w:t>各项设施的管理和维修方案，包括但不限于供电设施、门窗设备、水房厕所设施、直饮水机、照明设备、安全 应急设施管理维修。根据方案的全面性、服务标准、可操作性横向比较。 方案详细全面，服务标准严格，服务措施完善，可操作性强，得4-7分； 方案基本详细，服务标准规范，有一定针对性和可操作性，得2-4分； 方案不合理、无可操作性，得1-2分。 未提供或完全脱离项目实际的不得分。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消防安全管理</w:t>
            </w:r>
          </w:p>
        </w:tc>
        <w:tc>
          <w:tcPr>
            <w:tcW w:type="dxa" w:w="2492"/>
          </w:tcPr>
          <w:p>
            <w:pPr>
              <w:pStyle w:val="null3"/>
            </w:pPr>
            <w:r>
              <w:rPr/>
              <w:t>提出详细的的消防和安全管理方案，包括但不限于消防安全培训工作、消防检测记录归档、消防检查、消防演练工作等。 方案详细全面，服务标准严格，服务措施完善，4-7分； 方案基本详细，服务标准规范，有一定针对性2-4分； 有基本方案合理性一般得1-2分。 未提供或完全脱离项目实际的不得分。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管理制度</w:t>
            </w:r>
          </w:p>
        </w:tc>
        <w:tc>
          <w:tcPr>
            <w:tcW w:type="dxa" w:w="2492"/>
          </w:tcPr>
          <w:p>
            <w:pPr>
              <w:pStyle w:val="null3"/>
            </w:pPr>
            <w:r>
              <w:rPr/>
              <w:t>针对本项目制定完整的管理制度，包括担不限于工作标准、人事制度、服务流程、考核制度等方面： 管理制度内容描述全面，规范，可行性强，得3-5分； 管理制度内容简单、笼统，可行性不足，得1-3分； 未提供或完全脱离项目实际的不得分。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拟配备人员</w:t>
            </w:r>
          </w:p>
        </w:tc>
        <w:tc>
          <w:tcPr>
            <w:tcW w:type="dxa" w:w="2492"/>
          </w:tcPr>
          <w:p>
            <w:pPr>
              <w:pStyle w:val="null3"/>
            </w:pPr>
            <w:r>
              <w:rPr/>
              <w:t>针对本项目提供拟配备人员： 拟配备人员数量充沛专业配备齐全，能完全满足项目需求，得基本分5分； ①专业人员需持证上岗，至少1人持有有效期内的电工作业证件，得1分；每增加1人加1分，最多得2分； ②至少1人持有有效期消防设施操作员证书得1分，每增加1人加1分，最多得3分。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应急预案及补救措施</w:t>
            </w:r>
          </w:p>
        </w:tc>
        <w:tc>
          <w:tcPr>
            <w:tcW w:type="dxa" w:w="2492"/>
          </w:tcPr>
          <w:p>
            <w:pPr>
              <w:pStyle w:val="null3"/>
            </w:pPr>
            <w:r>
              <w:rPr/>
              <w:t>针对本项目服务过程中可能出现的恶性天气、大型节假日、大型活动、人为因素等特殊或突发事件有相应的应急预案及补救措施： 应急预案及补救措施完备健全，科学性强、合理性强、可行性强的得7-10分； 应急预案及补救措施较为完备健全，方案具有一定科学性、合理性较好、基本可行性的得4-7分； 应急预案及补救措施完备程度一般，方案合理性一般、可行性低或需要优化后才能基本满足项目需要的得1-4分。 未提供或完全脱离项目实际的不得分。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档案管理</w:t>
            </w:r>
          </w:p>
        </w:tc>
        <w:tc>
          <w:tcPr>
            <w:tcW w:type="dxa" w:w="2492"/>
          </w:tcPr>
          <w:p>
            <w:pPr>
              <w:pStyle w:val="null3"/>
            </w:pPr>
            <w:r>
              <w:rPr/>
              <w:t>根据本项目制定档案管理方案： 方案全面具体、科学合理、规范严密、可行性高的得4-6分； 方案基本全面、较为科学合理、较为规范严密、可行性较好的得2-4分； 方案不全面、欠缺科学合理、规范严密性差、可行性一般的得1-2分； 未提供或完全脱离项目实际的不得分。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拟投入设备</w:t>
            </w:r>
          </w:p>
        </w:tc>
        <w:tc>
          <w:tcPr>
            <w:tcW w:type="dxa" w:w="2492"/>
          </w:tcPr>
          <w:p>
            <w:pPr>
              <w:pStyle w:val="null3"/>
            </w:pPr>
            <w:r>
              <w:rPr/>
              <w:t>拟用于本项目的主要设备情况，包含但不限于安保工具、通信设备、清扫工具等： 拟投入设备方案合理可行、有针对性、符合本项目特点、证明材料齐全，得4-6分； 拟投入设备方案较合理、基本符合本项目特点、证明材料不齐全，得2-4分； 拟投入设备方案不合理、不符合本项目特点、无证明材料，得1-2分； 未提供或完全脱离项目实际的不得分。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服务承诺</w:t>
            </w:r>
          </w:p>
        </w:tc>
        <w:tc>
          <w:tcPr>
            <w:tcW w:type="dxa" w:w="2492"/>
          </w:tcPr>
          <w:p>
            <w:pPr>
              <w:pStyle w:val="null3"/>
            </w:pPr>
            <w:r>
              <w:rPr/>
              <w:t>承诺接受采购人对服务的考核、监督及管理，得 1.5分； 承诺定期调研采购人对服务质量的满意度并加以改进，确保服务工作的优质高效，得1.5分； 承诺若出现服务人员因事、病等不能工作的，及时调整其他服务人员补充，确保服务工作得1分； 承诺按照法律法规跟服务人员签订劳动合同、缴纳社会 保险、发放工资不低于当地最低工资得1分。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磋商方案说明书</w:t>
            </w:r>
          </w:p>
        </w:tc>
      </w:tr>
      <w:tr>
        <w:tc>
          <w:tcPr>
            <w:tcW w:type="dxa" w:w="831"/>
            <w:vMerge/>
          </w:tcPr>
          <w:p/>
        </w:tc>
        <w:tc>
          <w:tcPr>
            <w:tcW w:type="dxa" w:w="1661"/>
          </w:tcPr>
          <w:p>
            <w:pPr>
              <w:pStyle w:val="null3"/>
            </w:pPr>
            <w:r>
              <w:rPr/>
              <w:t>企业业绩</w:t>
            </w:r>
          </w:p>
        </w:tc>
        <w:tc>
          <w:tcPr>
            <w:tcW w:type="dxa" w:w="2492"/>
          </w:tcPr>
          <w:p>
            <w:pPr>
              <w:pStyle w:val="null3"/>
            </w:pPr>
            <w:r>
              <w:rPr/>
              <w:t>供应商提供近三年（2021年12月1日至今，以合同签订时间为准）的类似项目业绩，业绩以合同关键页复印件为依据，响应文件中附有其证明资料，每提供一个业绩证明计2分，满分10分。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1.经初审合格的磋商响应文件，其磋商报价为有效磋商报价，并进行价格评审。 2.满足磋商文件实质性要求且最终报价最低的供应商的价格为磋商基准价，其价格分为满分20分。 3.磋商报价得分=（磋商基准价/最终磋商报价）×20的公式计算得分。 4.磋商报价不完整的，不进入磋商基准价的计算，本项得0分。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详见附件：磋商方案说明书</w:t>
      </w:r>
    </w:p>
    <w:p>
      <w:pPr>
        <w:pStyle w:val="null3"/>
        <w:ind w:firstLine="960"/>
      </w:pPr>
      <w:r>
        <w:rPr/>
        <w:t>详见附件：商务条款偏离表</w:t>
      </w:r>
    </w:p>
    <w:p>
      <w:pPr>
        <w:pStyle w:val="null3"/>
        <w:ind w:firstLine="960"/>
      </w:pPr>
      <w:r>
        <w:rPr/>
        <w:t>详见附件：陕西省政府采购供应商拒绝政府采购领域商业贿赂承诺书</w:t>
      </w:r>
    </w:p>
    <w:p>
      <w:pPr>
        <w:pStyle w:val="null3"/>
        <w:ind w:firstLine="960"/>
      </w:pPr>
      <w:r>
        <w:rPr/>
        <w:t>详见附件：资格证明文件</w:t>
      </w:r>
    </w:p>
    <w:p>
      <w:pPr>
        <w:pStyle w:val="null3"/>
        <w:ind w:firstLine="960"/>
      </w:pPr>
      <w:r>
        <w:rPr/>
        <w:t>详见附件：业绩</w:t>
      </w:r>
    </w:p>
    <w:p>
      <w:pPr>
        <w:pStyle w:val="null3"/>
        <w:ind w:firstLine="960"/>
      </w:pPr>
      <w:r>
        <w:rPr/>
        <w:t>详见附件：声明函</w:t>
      </w:r>
    </w:p>
    <w:p>
      <w:pPr>
        <w:pStyle w:val="null3"/>
        <w:ind w:firstLine="960"/>
      </w:pPr>
      <w:r>
        <w:rPr/>
        <w:t>详见附件：其它说明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