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版本号：GWZC-2024-202（ZR20GN2024-ZB-078）RR20251021001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公务车辆油料采购(三次)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GWZC-2024-202（ZR20GN2024-ZB-078）RR</w:t>
      </w:r>
      <w:r>
        <w:br/>
      </w:r>
      <w:r>
        <w:br/>
      </w:r>
      <w:r>
        <w:br/>
      </w:r>
    </w:p>
    <w:p>
      <w:pPr>
        <w:pStyle w:val="null3"/>
        <w:jc w:val="center"/>
        <w:outlineLvl w:val="2"/>
      </w:pPr>
      <w:r>
        <w:rPr>
          <w:rFonts w:ascii="仿宋_GB2312" w:hAnsi="仿宋_GB2312" w:cs="仿宋_GB2312" w:eastAsia="仿宋_GB2312"/>
          <w:sz w:val="28"/>
          <w:b/>
        </w:rPr>
        <w:t>西安浐灞国际港党政办公室</w:t>
      </w:r>
    </w:p>
    <w:p>
      <w:pPr>
        <w:pStyle w:val="null3"/>
        <w:jc w:val="center"/>
        <w:outlineLvl w:val="2"/>
      </w:pPr>
      <w:r>
        <w:rPr>
          <w:rFonts w:ascii="仿宋_GB2312" w:hAnsi="仿宋_GB2312" w:cs="仿宋_GB2312" w:eastAsia="仿宋_GB2312"/>
          <w:sz w:val="28"/>
          <w:b/>
        </w:rPr>
        <w:t>陕西中润国际招标有限公司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陕西中润国际招标有限公司</w:t>
      </w:r>
      <w:r>
        <w:rPr>
          <w:rFonts w:ascii="仿宋_GB2312" w:hAnsi="仿宋_GB2312" w:cs="仿宋_GB2312" w:eastAsia="仿宋_GB2312"/>
        </w:rPr>
        <w:t>（以下简称“代理机构”）受</w:t>
      </w:r>
      <w:r>
        <w:rPr>
          <w:rFonts w:ascii="仿宋_GB2312" w:hAnsi="仿宋_GB2312" w:cs="仿宋_GB2312" w:eastAsia="仿宋_GB2312"/>
        </w:rPr>
        <w:t>西安浐灞国际港党政办公室</w:t>
      </w:r>
      <w:r>
        <w:rPr>
          <w:rFonts w:ascii="仿宋_GB2312" w:hAnsi="仿宋_GB2312" w:cs="仿宋_GB2312" w:eastAsia="仿宋_GB2312"/>
        </w:rPr>
        <w:t>委托，拟对</w:t>
      </w:r>
      <w:r>
        <w:rPr>
          <w:rFonts w:ascii="仿宋_GB2312" w:hAnsi="仿宋_GB2312" w:cs="仿宋_GB2312" w:eastAsia="仿宋_GB2312"/>
        </w:rPr>
        <w:t>公务车辆油料采购(三次)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GWZC-2024-202（ZR20GN2024-ZB-078）RR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公务车辆油料采购(三次)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主要内容包含公务车辆日常运行所需的油料。</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授权委托书/法定代表人（负责人）身份证明：法定代表人（负责人）参加投标的，须提供身份证；法定代表人（负责人）授权他人参加投标的，须提供法定代表人（负责人）授权委托书及被授权人身份证。</w:t>
      </w:r>
    </w:p>
    <w:p>
      <w:pPr>
        <w:pStyle w:val="null3"/>
      </w:pPr>
      <w:r>
        <w:rPr>
          <w:rFonts w:ascii="仿宋_GB2312" w:hAnsi="仿宋_GB2312" w:cs="仿宋_GB2312" w:eastAsia="仿宋_GB2312"/>
        </w:rPr>
        <w:t>2、资格证书：具有有效的《危险化学品经营许可证》及《成品油零售经营批准证书》</w:t>
      </w:r>
    </w:p>
    <w:p>
      <w:pPr>
        <w:pStyle w:val="null3"/>
      </w:pPr>
      <w:r>
        <w:rPr>
          <w:rFonts w:ascii="仿宋_GB2312" w:hAnsi="仿宋_GB2312" w:cs="仿宋_GB2312" w:eastAsia="仿宋_GB2312"/>
        </w:rPr>
        <w:t>3、信用记录：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4、联合体：本项目不接受联合体；(投标人需在项目电子化交易系统中按要求上传相应证明文件并进行电子签章。)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西安浐灞国际港党政办公室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029-83521125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陕西中润国际招标有限公司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西安市高新区唐延路旺座国际城A座12楼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张经理、王经理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029-88825655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在领取中标通知书前，须向采购代理机构支付招标代理服务费，招标代理服务费由采购人与采购代理机构约定，代理服务费收费标准：参照《国家计委关于印发&lt;招标代理服务收费管理暂行办法&gt;的通知》（计价格[2002]1980号）和国家发展改革委员会办公厅颁发的《关于招标代理服务收费有关问题的通知》（发改办价格『2003』857号）以及发改价格〔2011〕534 号文中规定按标准收取，若按照标准收取不足6000元，按6000元计取。 中标单位的招标代理服务费交纳信息 银行户名：陕西中润国际招标有限公司 开户银行：中信银行西安曲江池北路支行 账 号：7251310182600086350 联系人：李帆 联系电话：029-87321229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西安浐灞国际港党政办公室</w:t>
      </w:r>
      <w:r>
        <w:rPr>
          <w:rFonts w:ascii="仿宋_GB2312" w:hAnsi="仿宋_GB2312" w:cs="仿宋_GB2312" w:eastAsia="仿宋_GB2312"/>
        </w:rPr>
        <w:t>和</w:t>
      </w:r>
      <w:r>
        <w:rPr>
          <w:rFonts w:ascii="仿宋_GB2312" w:hAnsi="仿宋_GB2312" w:cs="仿宋_GB2312" w:eastAsia="仿宋_GB2312"/>
        </w:rPr>
        <w:t>陕西中润国际招标有限公司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西安浐灞国际港党政办公室</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陕西中润国际招标有限公司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西安浐灞国际港党政办公室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陕西中润国际招标有限公司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联系人：张经理、王经理</w:t>
      </w:r>
    </w:p>
    <w:p>
      <w:pPr>
        <w:pStyle w:val="null3"/>
      </w:pPr>
      <w:r>
        <w:rPr>
          <w:rFonts w:ascii="仿宋_GB2312" w:hAnsi="仿宋_GB2312" w:cs="仿宋_GB2312" w:eastAsia="仿宋_GB2312"/>
        </w:rPr>
        <w:t>联系电话：029-88825655</w:t>
      </w:r>
    </w:p>
    <w:p>
      <w:pPr>
        <w:pStyle w:val="null3"/>
      </w:pPr>
      <w:r>
        <w:rPr>
          <w:rFonts w:ascii="仿宋_GB2312" w:hAnsi="仿宋_GB2312" w:cs="仿宋_GB2312" w:eastAsia="仿宋_GB2312"/>
        </w:rPr>
        <w:t>地址：西安市高新区唐延路1号旺座国际城A座12楼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主要内容包含公务车辆日常运行所需的油料。</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公务车辆油料采购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标的名称：公务车辆油料采购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一、概况</w:t>
                  </w:r>
                </w:p>
                <w:p>
                  <w:pPr>
                    <w:pStyle w:val="null3"/>
                    <w:ind w:firstLine="480"/>
                  </w:pPr>
                  <w:r>
                    <w:rPr>
                      <w:rFonts w:ascii="仿宋_GB2312" w:hAnsi="仿宋_GB2312" w:cs="仿宋_GB2312" w:eastAsia="仿宋_GB2312"/>
                      <w:sz w:val="19"/>
                    </w:rPr>
                    <w:t>（一）</w:t>
                  </w:r>
                  <w:r>
                    <w:rPr>
                      <w:rFonts w:ascii="仿宋_GB2312" w:hAnsi="仿宋_GB2312" w:cs="仿宋_GB2312" w:eastAsia="仿宋_GB2312"/>
                      <w:sz w:val="19"/>
                    </w:rPr>
                    <w:t>采购内容：</w:t>
                  </w:r>
                  <w:r>
                    <w:rPr>
                      <w:rFonts w:ascii="仿宋_GB2312" w:hAnsi="仿宋_GB2312" w:cs="仿宋_GB2312" w:eastAsia="仿宋_GB2312"/>
                      <w:sz w:val="19"/>
                    </w:rPr>
                    <w:t>公务车辆油料采购，区内共计</w:t>
                  </w:r>
                  <w:r>
                    <w:rPr>
                      <w:rFonts w:ascii="仿宋_GB2312" w:hAnsi="仿宋_GB2312" w:cs="仿宋_GB2312" w:eastAsia="仿宋_GB2312"/>
                      <w:sz w:val="19"/>
                    </w:rPr>
                    <w:t>122</w:t>
                  </w:r>
                  <w:r>
                    <w:rPr>
                      <w:rFonts w:ascii="仿宋_GB2312" w:hAnsi="仿宋_GB2312" w:cs="仿宋_GB2312" w:eastAsia="仿宋_GB2312"/>
                      <w:sz w:val="19"/>
                    </w:rPr>
                    <w:t>辆车</w:t>
                  </w:r>
                  <w:r>
                    <w:rPr>
                      <w:rFonts w:ascii="仿宋_GB2312" w:hAnsi="仿宋_GB2312" w:cs="仿宋_GB2312" w:eastAsia="仿宋_GB2312"/>
                      <w:sz w:val="19"/>
                    </w:rPr>
                    <w:t>。</w:t>
                  </w:r>
                </w:p>
                <w:p>
                  <w:pPr>
                    <w:pStyle w:val="null3"/>
                    <w:ind w:firstLine="480"/>
                  </w:pPr>
                  <w:r>
                    <w:rPr>
                      <w:rFonts w:ascii="仿宋_GB2312" w:hAnsi="仿宋_GB2312" w:cs="仿宋_GB2312" w:eastAsia="仿宋_GB2312"/>
                      <w:sz w:val="19"/>
                    </w:rPr>
                    <w:t>（二）服务期限：</w:t>
                  </w:r>
                  <w:r>
                    <w:rPr>
                      <w:rFonts w:ascii="仿宋_GB2312" w:hAnsi="仿宋_GB2312" w:cs="仿宋_GB2312" w:eastAsia="仿宋_GB2312"/>
                      <w:sz w:val="19"/>
                      <w:b/>
                    </w:rPr>
                    <w:t>1年（自合同签订之日起计算）</w:t>
                  </w:r>
                  <w:r>
                    <w:rPr>
                      <w:rFonts w:ascii="仿宋_GB2312" w:hAnsi="仿宋_GB2312" w:cs="仿宋_GB2312" w:eastAsia="仿宋_GB2312"/>
                      <w:sz w:val="19"/>
                    </w:rPr>
                    <w:t>。</w:t>
                  </w:r>
                </w:p>
                <w:p>
                  <w:pPr>
                    <w:pStyle w:val="null3"/>
                    <w:ind w:firstLine="480"/>
                  </w:pPr>
                  <w:r>
                    <w:rPr>
                      <w:rFonts w:ascii="仿宋_GB2312" w:hAnsi="仿宋_GB2312" w:cs="仿宋_GB2312" w:eastAsia="仿宋_GB2312"/>
                      <w:sz w:val="19"/>
                    </w:rPr>
                    <w:t>（三）招标油品：92/95#汽油：符合GB 17930-2016《车用汽油》</w:t>
                  </w:r>
                </w:p>
                <w:p>
                  <w:pPr>
                    <w:pStyle w:val="null3"/>
                  </w:pPr>
                  <w:r>
                    <w:rPr>
                      <w:rFonts w:ascii="仿宋_GB2312" w:hAnsi="仿宋_GB2312" w:cs="仿宋_GB2312" w:eastAsia="仿宋_GB2312"/>
                      <w:sz w:val="19"/>
                      <w:b/>
                    </w:rPr>
                    <w:t>二、基本要求</w:t>
                  </w:r>
                </w:p>
                <w:p>
                  <w:pPr>
                    <w:pStyle w:val="null3"/>
                    <w:ind w:firstLine="480"/>
                  </w:pPr>
                  <w:r>
                    <w:rPr>
                      <w:rFonts w:ascii="仿宋_GB2312" w:hAnsi="仿宋_GB2312" w:cs="仿宋_GB2312" w:eastAsia="仿宋_GB2312"/>
                      <w:sz w:val="19"/>
                    </w:rPr>
                    <w:t>（一）</w:t>
                  </w:r>
                  <w:r>
                    <w:rPr>
                      <w:rFonts w:ascii="仿宋_GB2312" w:hAnsi="仿宋_GB2312" w:cs="仿宋_GB2312" w:eastAsia="仿宋_GB2312"/>
                      <w:sz w:val="19"/>
                    </w:rPr>
                    <w:t>不论何种情况，24小时内公务用车进入加油站加油，均能受到良好的加油服务。</w:t>
                  </w:r>
                </w:p>
                <w:p>
                  <w:pPr>
                    <w:pStyle w:val="null3"/>
                    <w:ind w:firstLine="480"/>
                  </w:pPr>
                  <w:r>
                    <w:rPr>
                      <w:rFonts w:ascii="仿宋_GB2312" w:hAnsi="仿宋_GB2312" w:cs="仿宋_GB2312" w:eastAsia="仿宋_GB2312"/>
                      <w:sz w:val="19"/>
                    </w:rPr>
                    <w:t>（二）</w:t>
                  </w:r>
                  <w:r>
                    <w:rPr>
                      <w:rFonts w:ascii="仿宋_GB2312" w:hAnsi="仿宋_GB2312" w:cs="仿宋_GB2312" w:eastAsia="仿宋_GB2312"/>
                      <w:sz w:val="19"/>
                    </w:rPr>
                    <w:t>保证上述车辆加油时场地畅通，做到加油及时。</w:t>
                  </w:r>
                </w:p>
                <w:p>
                  <w:pPr>
                    <w:pStyle w:val="null3"/>
                    <w:ind w:firstLine="480"/>
                  </w:pPr>
                  <w:r>
                    <w:rPr>
                      <w:rFonts w:ascii="仿宋_GB2312" w:hAnsi="仿宋_GB2312" w:cs="仿宋_GB2312" w:eastAsia="仿宋_GB2312"/>
                      <w:sz w:val="19"/>
                    </w:rPr>
                    <w:t>（三）所有加油操作人员能文明用语，礼貌对待车辆驾驶员。</w:t>
                  </w:r>
                </w:p>
                <w:p>
                  <w:pPr>
                    <w:pStyle w:val="null3"/>
                    <w:ind w:firstLine="480"/>
                  </w:pPr>
                  <w:r>
                    <w:rPr>
                      <w:rFonts w:ascii="仿宋_GB2312" w:hAnsi="仿宋_GB2312" w:cs="仿宋_GB2312" w:eastAsia="仿宋_GB2312"/>
                      <w:sz w:val="19"/>
                    </w:rPr>
                    <w:t>（四）认真做好对加油员的监督，保证一车一卡加油，不允许用容器加油，杜绝人情油的现象发生。</w:t>
                  </w:r>
                </w:p>
                <w:p>
                  <w:pPr>
                    <w:pStyle w:val="null3"/>
                    <w:ind w:firstLine="480"/>
                  </w:pPr>
                  <w:r>
                    <w:rPr>
                      <w:rFonts w:ascii="仿宋_GB2312" w:hAnsi="仿宋_GB2312" w:cs="仿宋_GB2312" w:eastAsia="仿宋_GB2312"/>
                      <w:sz w:val="19"/>
                    </w:rPr>
                    <w:t>（五）</w:t>
                  </w:r>
                  <w:r>
                    <w:rPr>
                      <w:rFonts w:ascii="仿宋_GB2312" w:hAnsi="仿宋_GB2312" w:cs="仿宋_GB2312" w:eastAsia="仿宋_GB2312"/>
                      <w:sz w:val="19"/>
                    </w:rPr>
                    <w:t>不因用户车辆的多少而采取不同的态度。</w:t>
                  </w:r>
                </w:p>
                <w:p>
                  <w:pPr>
                    <w:pStyle w:val="null3"/>
                    <w:ind w:firstLine="480"/>
                  </w:pPr>
                  <w:r>
                    <w:rPr>
                      <w:rFonts w:ascii="仿宋_GB2312" w:hAnsi="仿宋_GB2312" w:cs="仿宋_GB2312" w:eastAsia="仿宋_GB2312"/>
                      <w:sz w:val="19"/>
                    </w:rPr>
                    <w:t>（六）如发生成品油供不应求的情况时，优先提供加油服务，确保环卫生产作业。</w:t>
                  </w:r>
                </w:p>
                <w:p>
                  <w:pPr>
                    <w:pStyle w:val="null3"/>
                    <w:ind w:firstLine="480"/>
                  </w:pPr>
                  <w:r>
                    <w:rPr>
                      <w:rFonts w:ascii="仿宋_GB2312" w:hAnsi="仿宋_GB2312" w:cs="仿宋_GB2312" w:eastAsia="仿宋_GB2312"/>
                      <w:sz w:val="19"/>
                    </w:rPr>
                    <w:t>（七）中标人提供的油品数量必须保证每天都能满足采购人的需求，特别是油品紧缺时也要力争保证采购人每天的正常需要（在同等条件下优先)。</w:t>
                  </w:r>
                </w:p>
                <w:p>
                  <w:pPr>
                    <w:pStyle w:val="null3"/>
                    <w:ind w:firstLine="480"/>
                  </w:pPr>
                  <w:r>
                    <w:rPr>
                      <w:rFonts w:ascii="仿宋_GB2312" w:hAnsi="仿宋_GB2312" w:cs="仿宋_GB2312" w:eastAsia="仿宋_GB2312"/>
                      <w:sz w:val="19"/>
                    </w:rPr>
                    <w:t>（八）中标人不得在未经双方协商一致的情况下将中标业务转让给他人或者单位。</w:t>
                  </w:r>
                </w:p>
                <w:p>
                  <w:pPr>
                    <w:pStyle w:val="null3"/>
                  </w:pPr>
                  <w:r>
                    <w:rPr>
                      <w:rFonts w:ascii="仿宋_GB2312" w:hAnsi="仿宋_GB2312" w:cs="仿宋_GB2312" w:eastAsia="仿宋_GB2312"/>
                      <w:sz w:val="19"/>
                      <w:b/>
                    </w:rPr>
                    <w:t>三、油品质量及要求</w:t>
                  </w:r>
                </w:p>
                <w:p>
                  <w:pPr>
                    <w:pStyle w:val="null3"/>
                    <w:ind w:firstLine="480"/>
                  </w:pPr>
                  <w:r>
                    <w:rPr>
                      <w:rFonts w:ascii="仿宋_GB2312" w:hAnsi="仿宋_GB2312" w:cs="仿宋_GB2312" w:eastAsia="仿宋_GB2312"/>
                      <w:sz w:val="19"/>
                    </w:rPr>
                    <w:t>（一）中标人提供的油品必须符合国家标准化管理委员会公布的GB 17930-2016《车用汽油》的要求，必须符合国家行业生产及经营标准，各项技术指标必须完全符合国家有关质量检测、环保标准及产品出厂标准。</w:t>
                  </w:r>
                </w:p>
                <w:p>
                  <w:pPr>
                    <w:pStyle w:val="null3"/>
                    <w:ind w:firstLine="480"/>
                  </w:pPr>
                  <w:r>
                    <w:rPr>
                      <w:rFonts w:ascii="仿宋_GB2312" w:hAnsi="仿宋_GB2312" w:cs="仿宋_GB2312" w:eastAsia="仿宋_GB2312"/>
                      <w:sz w:val="19"/>
                    </w:rPr>
                    <w:t>（二）采购人有权对中标人所供应油品不定期不限次抽检。若经检测、鉴定，如因油品存在质量问题（以国家或者地方政府指定检测部门抽检油站油品检验结果为基准），采购人车辆使用该批次货物导致车辆损坏、故障的，中标人应承担全部维修费用和因此引起的损失。</w:t>
                  </w:r>
                </w:p>
                <w:p>
                  <w:pPr>
                    <w:pStyle w:val="null3"/>
                    <w:ind w:firstLine="480"/>
                  </w:pPr>
                  <w:r>
                    <w:rPr>
                      <w:rFonts w:ascii="仿宋_GB2312" w:hAnsi="仿宋_GB2312" w:cs="仿宋_GB2312" w:eastAsia="仿宋_GB2312"/>
                      <w:sz w:val="19"/>
                    </w:rPr>
                    <w:t>（三）中标人在进行调整油价之前，应将调整油价通知提供给采购人，调整后价格按政府批文日期执行。</w:t>
                  </w:r>
                </w:p>
                <w:p>
                  <w:pPr>
                    <w:pStyle w:val="null3"/>
                    <w:ind w:firstLine="480"/>
                  </w:pPr>
                  <w:r>
                    <w:rPr>
                      <w:rFonts w:ascii="仿宋_GB2312" w:hAnsi="仿宋_GB2312" w:cs="仿宋_GB2312" w:eastAsia="仿宋_GB2312"/>
                      <w:sz w:val="19"/>
                    </w:rPr>
                    <w:t>本项目要求投标人报投标折扣，</w:t>
                  </w:r>
                  <w:r>
                    <w:rPr>
                      <w:rFonts w:ascii="仿宋_GB2312" w:hAnsi="仿宋_GB2312" w:cs="仿宋_GB2312" w:eastAsia="仿宋_GB2312"/>
                      <w:sz w:val="19"/>
                    </w:rPr>
                    <w:t>折扣限价为</w:t>
                  </w:r>
                  <w:r>
                    <w:rPr>
                      <w:rFonts w:ascii="仿宋_GB2312" w:hAnsi="仿宋_GB2312" w:cs="仿宋_GB2312" w:eastAsia="仿宋_GB2312"/>
                      <w:sz w:val="19"/>
                      <w:u w:val="single"/>
                    </w:rPr>
                    <w:t xml:space="preserve"> 98.00 %</w:t>
                  </w:r>
                  <w:r>
                    <w:rPr>
                      <w:rFonts w:ascii="仿宋_GB2312" w:hAnsi="仿宋_GB2312" w:cs="仿宋_GB2312" w:eastAsia="仿宋_GB2312"/>
                      <w:sz w:val="19"/>
                    </w:rPr>
                    <w:t>。(投标人所报投标折扣不得高于限价，否则按废标处理)。</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1年（自合同签订之日起计算）</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供上月燃油加油清单，经采购人确认无误后，次月10日前结算上月燃油费，按照本项目成交折扣据实结算，结算时供应商须向采购人提供在税务部门开具真实有效的正式税务发票（所需税费由投标人自行承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供上月燃油加油清单，经采购人确认无误后，次月10日前结算上月燃油费，按照本项目成交折扣据实结算，结算时供应商须向采购人提供在税务部门开具真实有效的正式税务发票（所需税费由投标人自行承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供上月燃油加油清单，经采购人确认无误后，次月10日前结算上月燃油费，按照本项目成交折扣据实结算，结算时供应商须向采购人提供在税务部门开具真实有效的正式税务发票（所需税费由投标人自行承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供上月燃油加油清单，经采购人确认无误后，次月10日前结算上月燃油费，按照本项目成交折扣据实结算，结算时供应商须向采购人提供在税务部门开具真实有效的正式税务发票（所需税费由投标人自行承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供上月燃油加油清单，经采购人确认无误后，次月10日前结算上月燃油费，按照本项目成交折扣据实结算，结算时供应商须向采购人提供在税务部门开具真实有效的正式税务发票（所需税费由投标人自行承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供上月燃油加油清单，经采购人确认无误后，次月10日前结算上月燃油费，按照本项目成交折扣据实结算，结算时供应商须向采购人提供在税务部门开具真实有效的正式税务发票（所需税费由投标人自行承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供上月燃油加油清单，经采购人确认无误后，次月10日前结算上月燃油费，按照本项目成交折扣据实结算，结算时供应商须向采购人提供在税务部门开具真实有效的正式税务发票（所需税费由投标人自行承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供上月燃油加油清单，经采购人确认无误后，次月10日前结算上月燃油费，按照本项目成交折扣据实结算，结算时供应商须向采购人提供在税务部门开具真实有效的正式税务发票（所需税费由投标人自行承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供上月燃油加油清单，经采购人确认无误后，次月10日前结算上月燃油费，按照本项目成交折扣据实结算，结算时供应商须向采购人提供在税务部门开具真实有效的正式税务发票（所需税费由投标人自行承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供上月燃油加油清单，经采购人确认无误后，次月10日前结算上月燃油费，按照本项目成交折扣据实结算，结算时供应商须向采购人提供在税务部门开具真实有效的正式税务发票（所需税费由投标人自行承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供上月燃油加油清单，经采购人确认无误后，次月10日前结算上月燃油费，按照本项目成交折扣据实结算，结算时供应商须向采购人提供在税务部门开具真实有效的正式税务发票（所需税费由投标人自行承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供上月燃油加油清单，经采购人确认无误后，次月10日前结算上月燃油费，按照本项目成交折扣据实结算，结算时供应商须向采购人提供在税务部门开具真实有效的正式税务发票（所需税费由投标人自行承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（一）供应商提供的油品必须符合国家标准化管理委员会公布的GB 17930-2016《车用汽油》的要求，必须符合国家行业生产及经营标准，各项技术指标必须完全符合国家有关质量检测、环保标准及产品出厂标准。 （二）采购人有权对供应商所供应油品不定期不限次抽检。若经检测、鉴定，如因油品存在质量问题（以国家或者地方政府指定检测部门抽检油站油品检验结果为基准），采购人车辆使用该批次货物导致车辆损坏、故障的，供应商应承担全部维修费用和因此引起的损失。 （三）供应商提供的油品数量必须保证每天都能满足采购人的需求，特别是油品紧缺时也要力争保证采购人每天的正常需要（在同等条件下优先)。 （四）如供应商出现供油能力不足的现象或者因特殊原因有影响采购人正常加油时，供应商应立即书面通知采购人，并与采购人积极妥善协商解决。供应商应协调公司内其他油站或者其他关系油站进行供油，最大限度保证采购人车辆的正常加油需求。 （五）供应商不得在未经双方协商一致并签订书面协议的情况下将本合同项下的义务转让或分包给任何第三人。</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本合同一经签定，采购人、供应商双方应认真自觉遵守，全面履行本合同约定的内容,不得擅自变更、终止合同。除本条另有约定外，如采购人、供应商双方任何一方违反本合同或其附属、补充条款约定的，应承担违约责任，违约方应按本合同约定总费用的【 5 】%向守约方支付违约金。如果违约行为给对方造成损失，应该赔偿对方经济损失，守约方的经济损失包括但不限于守约方为追究违约方违约责任而支付的诉讼费、律师费、差旅费、鉴定费等费用。 （二）如供应商交付的油品规格、质量标准与合同规定不符时，供应商须按本合同约定已经发生费用总额的【 20 】%向采购人支付违约金；如采购人两次或两次以上发现供应商交付的油品规格、质量标准与合同规定不符的，视为供应商根本违约，采购人有权单方面解除合同，供应商应按本合同约定已经发生费用总额的【 20 】%向采购人支付违约金。如导致采购人车辆损坏、故障的，供应商应承担全部维修费用和因此引起的损失。 （三）如供应商在未经双方协商一致的情况下将成交业务转让给他人或者单位的，视为供应商根本违约，采购人有权单方面解除合同，供应商应按本合同约定已经发生费用总额的【 50 】%向采购人支付违约金。如违约金不足以弥补采购人因此造成的损失的，供应商应承担全面补足的赔偿责任。 （四）上述各项，违约方向守约方支付的违约金不足以弥补守约方经济损失的，违约方须全额补足赔偿守约方因此遭受的经济损失。守约方的经济损失包括但不限于守约方遭受的直接经济损失，守约方为追究违约方违约责任而支付的诉讼费、律师费、鉴定费、交通费、差旅费等。 （五）依据《中华人民共和国民法典》、《中华人民共和国政府采购法》、《中华人民共和国政府采购法实施条例》的相关条款和本合同约定，供应商未全面履行合同义务或者发生违约，采购人会同采购代理机构有权终止合同，依法向供应商进行经济索赔，并报请政府采购监督管理机关进行相应的行政处罚。采购人违约的，应当赔偿给供应商造成的经济损失。 解决争议的方法：合同执行中发生争议的，当事人双方应协商解决。协商达不成一致时，可向当地行政仲裁机关申请仲裁或者向人民法院提请诉讼。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3.5.1本项目非专门面向中小企业。 3.5.2本项目要求投标人报投标折扣，折扣限价为 98.00 %。 3.5.3本项目所属行业：（根据《工业和信息化部、国家统计局、国家发展和改革委员会、财政部关于印发中小企业划型标准规定的通知》（工信部联企业〔2011〕300 号）规定的划分标准：（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3.5.4中标单位在领取中标通知书前须无偿为采购人提供盖章齐全的纸质版投标文件三套，正本1套，副本2套，纸质版应与电子投标文件保持一致。正本应为彩色打印件，副本可采用正本的复印件。纸质版文件与电子投标文件不一致由此造成的一切责任及后果由供应商自行承担。纸质版投标文件递交地址：西安市高新区唐延路1号旺座国际城座A座12楼，张经理 王经理，029-88825655。 3.5.5落实政府采购政策： ①、《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②、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 ③、《财政部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 ④、《财政部 国家发展改革委 信息产业部 关于印发无线局域网产品政府采购实施意见的通知》（财库〔2005〕366号）、《国家互联网信息办公室 工业和信息化部 公安部 财政部 国家认证认可监督管理委员会关于调整网络安全专用产品安全管理有关事项的公告》（2023年第1号）。 ⑤、《陕西省财政厅关于加快推进我省中小企业政府采购信用融资工作的通知》（陕财办采〔2020〕15 号）、陕西省财政厅关于印发《陕西省中小企业政府采购信用融资办法》（陕财办采〔2018〕23 号）。 ⑥、国务院办公厅《关于建立政府强制采购节能产品制度的通知》（国办发〔2007〕51号） 《财政部 发展改革委 生态环境部 国家监管总局关于调整优化节能产品、环境标志产品政府采购执行机制的通知》（财库〔2019〕9号） 《关于印发环境标志产品政府采购品目清单的通知》（财库〔2019〕18号） 《关于印发节能产品政府采购品目清单的通知》（财库〔2019〕19号） 陕西省财政厅《关于进一步加强政府绿色采购有关问题的通知》（陕财办采〔2021〕29号） 《政府采购支持绿色建材促进建筑品质提升政策项目实施指南》的通知(财库〔2023〕52号)及《关于扩大政府采购支持绿色建材促进建筑品质提升政策实施范围的通知》(财库〔2022〕35号) 若享受以上政策优惠的企业，提供相应声明函或品目清单范围内产品的有效认证证书。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法有效的统一社会信用代码营业执照（事业单位提供事业单位法人证书，自然人应提供身份证）；2、提供投标人2025年1月至今任意一个月已缴纳的完税凭证或税务机关开具的完税证明（任意税种）；依法免税的应提供相关文件证明；3、提供投标人2025年1月至今任意一个月已缴纳的社会保障资金缴存单据或社保机构开具的社会保险参保缴费情况证明；依法不需要缴纳社会保障资金的应提供相关文件证明；4、提供具有履行合同所必需的设备和专业技术能力的承诺函；5、提供参加本次政府采购活动前三年内在经营活动中没有重大违法记录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的财务报告或提交投标文件截止时间前三个月内其基本账户开户银行出具的资信证明（附开户许可证或开户备案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控股、管理关系的不同单位不得同时参加本次公开招标。2、为本项目提供整体设计、规范编制或者项目管理、监理、检测等服务的投标人，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法定代表人（负责人）授权委托书/法定代表人（负责人）身份证明</w:t>
            </w:r>
          </w:p>
        </w:tc>
        <w:tc>
          <w:tcPr>
            <w:tcW w:type="dxa" w:w="3322"/>
          </w:tcPr>
          <w:p>
            <w:pPr>
              <w:pStyle w:val="null3"/>
            </w:pPr>
            <w:r>
              <w:rPr>
                <w:rFonts w:ascii="仿宋_GB2312" w:hAnsi="仿宋_GB2312" w:cs="仿宋_GB2312" w:eastAsia="仿宋_GB2312"/>
              </w:rPr>
              <w:t>法定代表人（负责人）参加投标的，须提供身份证；法定代表人（负责人）授权他人参加投标的，须提供法定代表人（负责人）授权委托书及被授权人身份证。</w:t>
            </w:r>
          </w:p>
        </w:tc>
        <w:tc>
          <w:tcPr>
            <w:tcW w:type="dxa" w:w="1661"/>
          </w:tcPr>
          <w:p>
            <w:pPr>
              <w:pStyle w:val="null3"/>
            </w:pPr>
            <w:r>
              <w:rPr>
                <w:rFonts w:ascii="仿宋_GB2312" w:hAnsi="仿宋_GB2312" w:cs="仿宋_GB2312" w:eastAsia="仿宋_GB2312"/>
              </w:rPr>
              <w:t>资格.docx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资格证书</w:t>
            </w:r>
          </w:p>
        </w:tc>
        <w:tc>
          <w:tcPr>
            <w:tcW w:type="dxa" w:w="3322"/>
          </w:tcPr>
          <w:p>
            <w:pPr>
              <w:pStyle w:val="null3"/>
            </w:pPr>
            <w:r>
              <w:rPr>
                <w:rFonts w:ascii="仿宋_GB2312" w:hAnsi="仿宋_GB2312" w:cs="仿宋_GB2312" w:eastAsia="仿宋_GB2312"/>
              </w:rPr>
              <w:t>具有有效的《危险化学品经营许可证》及《成品油零售经营批准证书》</w:t>
            </w:r>
          </w:p>
        </w:tc>
        <w:tc>
          <w:tcPr>
            <w:tcW w:type="dxa" w:w="1661"/>
          </w:tcPr>
          <w:p>
            <w:pPr>
              <w:pStyle w:val="null3"/>
            </w:pPr>
            <w:r>
              <w:rPr>
                <w:rFonts w:ascii="仿宋_GB2312" w:hAnsi="仿宋_GB2312" w:cs="仿宋_GB2312" w:eastAsia="仿宋_GB2312"/>
              </w:rPr>
              <w:t>资格.docx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 中小企业声明函 商务应答表 投标人应提交的相关资格证明材料 政府采购供应商拒绝政府采购领域商业贿赂承诺书.docx 产品技术参数表 资格.docx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开标一览表 业绩一览表.docx 开标一览表-- 中小企业声明函 商务应答表 投标人应提交的相关资格证明材料 政府采购供应商拒绝政府采购领域商业贿赂承诺书.docx 产品技术参数表 资格.docx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应符合“招标文件要求”规定</w:t>
            </w:r>
          </w:p>
        </w:tc>
        <w:tc>
          <w:tcPr>
            <w:tcW w:type="dxa" w:w="1661"/>
          </w:tcPr>
          <w:p>
            <w:pPr>
              <w:pStyle w:val="null3"/>
            </w:pPr>
            <w:r>
              <w:rPr>
                <w:rFonts w:ascii="仿宋_GB2312" w:hAnsi="仿宋_GB2312" w:cs="仿宋_GB2312" w:eastAsia="仿宋_GB2312"/>
              </w:rPr>
              <w:t>资格.docx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投标报价不得高于采购预算或最高限价，且只能有一个有效报价，不得提交选择性报价</w:t>
            </w:r>
          </w:p>
        </w:tc>
        <w:tc>
          <w:tcPr>
            <w:tcW w:type="dxa" w:w="1661"/>
          </w:tcPr>
          <w:p>
            <w:pPr>
              <w:pStyle w:val="null3"/>
            </w:pPr>
            <w:r>
              <w:rPr>
                <w:rFonts w:ascii="仿宋_GB2312" w:hAnsi="仿宋_GB2312" w:cs="仿宋_GB2312" w:eastAsia="仿宋_GB2312"/>
              </w:rPr>
              <w:t>开标一览表 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应符合招标文件规定的其他实质性要求的</w:t>
            </w:r>
          </w:p>
        </w:tc>
        <w:tc>
          <w:tcPr>
            <w:tcW w:type="dxa" w:w="1661"/>
          </w:tcPr>
          <w:p>
            <w:pPr>
              <w:pStyle w:val="null3"/>
            </w:pPr>
            <w:r>
              <w:rPr>
                <w:rFonts w:ascii="仿宋_GB2312" w:hAnsi="仿宋_GB2312" w:cs="仿宋_GB2312" w:eastAsia="仿宋_GB2312"/>
              </w:rPr>
              <w:t>开标一览表 开标一览表-- 中小企业声明函 商务应答表 投标人应提交的相关资格证明材料 政府采购供应商拒绝政府采购领域商业贿赂承诺书.docx 产品技术参数表 资格.docx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详细评审40.00分</w:t>
            </w:r>
          </w:p>
          <w:p>
            <w:pPr>
              <w:pStyle w:val="null3"/>
            </w:pPr>
            <w:r>
              <w:rPr>
                <w:rFonts w:ascii="仿宋_GB2312" w:hAnsi="仿宋_GB2312" w:cs="仿宋_GB2312" w:eastAsia="仿宋_GB2312"/>
              </w:rPr>
              <w:t>报价得分60.00分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提供2021年1月1日以来(以合同签订时间为准）所投产品类似项目业绩合同，每份计2分，满分10分。（注：附业绩合同复印件或扫描件并加盖公司公章。）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依据供应商提供的本项目的供货方案评审，内容包含： ①质量保证措施（7分）：内容完整、可实施、且有针对性得7分；内容完整、可实施得4分；方案基本完整得1分；未提供不得分; ②人员配备（7分）：内容完整、可实施、且有针对性得7分；内容完整、可实施得4分；方案基本完整得1分；未提供不得分; ③网点位置（7分）：内容完整、可实施、且有针对性得7分；内容完整、可实施得4分；方案基本完整得1分；未提供不得分; ④售后服务（7分）：内容完整、可实施、且有针对性得7分；内容完整、可实施得4分；方案基本完整得1分；未提供不得分;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投标产品为节能、环境标志产品，每提供一项加2分，满分2分。（须提供证明符合招标文件要求的证明材料。）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满足招标文件要求且评审报价最低的报价为评标基准价，其价格分为满分。对符合政策性扣减的有效投标报价进行政策性扣减，并依据扣减后的价格（评审价格）进行价格评审。 其他供应商的价格分统一按照下列公式计算： 投标报价得分=（评标基准价/投标报价）×价格权值。</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详见附件：资格.docx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详见附件：供货方案.docx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