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版本号：SCZC2025-CS-2442-001R20251029001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省级经开区规划咨询服务（二次）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SCZC2025-CS-2442-001R</w:t>
      </w:r>
      <w:r>
        <w:br/>
      </w:r>
      <w:r>
        <w:br/>
      </w:r>
      <w:r>
        <w:br/>
      </w:r>
    </w:p>
    <w:p>
      <w:pPr>
        <w:pStyle w:val="null3"/>
        <w:jc w:val="center"/>
        <w:outlineLvl w:val="2"/>
      </w:pPr>
      <w:r>
        <w:rPr>
          <w:rFonts w:ascii="仿宋_GB2312" w:hAnsi="仿宋_GB2312" w:cs="仿宋_GB2312" w:eastAsia="仿宋_GB2312"/>
          <w:sz w:val="28"/>
          <w:b/>
        </w:rPr>
        <w:t>西安浐灞国际港产业促进局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西安浐灞国际港产业促进局</w:t>
      </w:r>
      <w:r>
        <w:rPr>
          <w:rFonts w:ascii="仿宋_GB2312" w:hAnsi="仿宋_GB2312" w:cs="仿宋_GB2312" w:eastAsia="仿宋_GB2312"/>
        </w:rPr>
        <w:t>委托，拟对</w:t>
      </w:r>
      <w:r>
        <w:rPr>
          <w:rFonts w:ascii="仿宋_GB2312" w:hAnsi="仿宋_GB2312" w:cs="仿宋_GB2312" w:eastAsia="仿宋_GB2312"/>
        </w:rPr>
        <w:t>省级经开区规划咨询服务（二次）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SCZC2025-CS-2442-001R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省级经开区规划咨询服务（二次）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负责编修产业发展规划及总体发展规划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网站（www.creditchina.gov.cn）和中国政府采购网（www.ccgp.gov.cn）上列入失信被执行人、重大税收违法失信主体、政府采购严重违法失信行为记录名单的，不得参加磋商。</w:t>
      </w:r>
    </w:p>
    <w:p>
      <w:pPr>
        <w:pStyle w:val="null3"/>
      </w:pPr>
      <w:r>
        <w:rPr>
          <w:rFonts w:ascii="仿宋_GB2312" w:hAnsi="仿宋_GB2312" w:cs="仿宋_GB2312" w:eastAsia="仿宋_GB2312"/>
        </w:rPr>
        <w:t>2、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pPr>
      <w:r>
        <w:rPr>
          <w:rFonts w:ascii="仿宋_GB2312" w:hAnsi="仿宋_GB2312" w:cs="仿宋_GB2312" w:eastAsia="仿宋_GB2312"/>
        </w:rPr>
        <w:t>3、供应商资格：具有行政主管部门颁发的城乡规划编制甲级资质。</w:t>
      </w:r>
    </w:p>
    <w:p>
      <w:pPr>
        <w:pStyle w:val="null3"/>
      </w:pPr>
      <w:r>
        <w:rPr>
          <w:rFonts w:ascii="仿宋_GB2312" w:hAnsi="仿宋_GB2312" w:cs="仿宋_GB2312" w:eastAsia="仿宋_GB2312"/>
        </w:rPr>
        <w:t>4、项目负责人资格：拟派项目负责人具有注册城乡规划师资格，在本单位注册。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西安浐灞国际港产业促进局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029-83521189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西安浐灞国际港产业促进局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西安浐灞国际港产业促进局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西安浐灞国际港产业促进局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乙方提交的成果文件经对应行政主管部门技术审查通过后视为验收合格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负责编修产业发展规划及总体发展规划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省级经开区规划咨询服务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标的名称：省级经开区规划咨询服务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西安市发改委等部门《关于做好全市&lt;中国开发区审核公告目录&gt;修订省级初审上报后有关工作的通知》及市商务局《关于做好深化经开区管理制度改革相关工作的通知》要求，需完成总体发展规划、产业发展规划等内容，报省级行政主管部门审核并出具意见。结合我区实际情况，选取一家第三方机构负责编修产业发展规划、总体发展规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总体发展规划：西安浐灞国际港总体发展规 划由西安浐灞国际港管理委员会委托开展，立足“西安城市高质量发展示范区”的战略定位，全面系统分析西安浐灞国际港开发区在区域中的战略角色与发展方向，明确西安浐灞国际港未来城市发展方向，遵循以人为本、生态优先、区域协调、产业驱动、创新发展的发展理念，重新架构西安浐灞国际港在西安城市东部片区的功能关系，形成“港产城一体化”，生态宜居、产城融合的城市发展新格局，引领全区科学发展、有序发展、高质量发展。总体规划成果包括但不限于：背景研究、现状分析、规划愿景和策略、功能结构分区、用地布局规划总平面图、道路交通系统规划图、绿地系统规划、产业发展布局、公共设施布局规划、市政公用设施规划、分期开发及时序策略、其他表达设计意图的图纸和文字。</w:t>
            </w:r>
          </w:p>
          <w:p>
            <w:pPr>
              <w:pStyle w:val="null3"/>
            </w:pPr>
            <w:r>
              <w:rPr>
                <w:rFonts w:ascii="仿宋_GB2312" w:hAnsi="仿宋_GB2312" w:cs="仿宋_GB2312" w:eastAsia="仿宋_GB2312"/>
              </w:rPr>
              <w:t>产业发展规划：根据《陕西省商务厅关于做好深化全省经开区管理制度改革相关工作的通知》要求，西安浐灞国际港管理委员会委托开展西安浐灞国际港产业发展规划编制工作。全面系统分析西安浐灞国际港产业发展现状、发展条件评价和面临问题等。在此基础上，本次规划将通过全面实施产业摸底调研，聚焦“通道经济”向“枢纽经济”转型、临港产业向新业态培育迈进，产业结构向“新质生产力”调整梳理整体思路，挖掘优劣势，制定发展目标、清晰空间布局、梳理重点任务、谋划重点项目。以产业升级、空间优化与制度创新为核心，突出国家物流枢纽特色，强调规划的落地性，明确未来浐灞国际港产业发展总体部署，为全产业发展提供科学指引。产业规划成果包括但不限于：规划背景、产业发展要素、产业发展优劣势分析和外部环境分析、产业发展基本原则、主导产业发展思路、各产业板块布局、产业发展路径、产业发展支撑保障、表达设计意图的图纸和文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设计过程严格按照 ISO 质量管理体系运行，以项目负责人为核心进行项目质量管理，总规划师进行技术把关，确保产品合格率达到 100%。同时，设计标准严格执行国家、地方及行业设计标准、规范、规程等，做到规划设计成果规范化、标准化，全力配合实现优秀规划设计的质量目标。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1.评价程序需符合国家有关规定要求，通过行政主管部门或评审评估机构的技术审查，并取得审查意见。</w:t>
            </w:r>
          </w:p>
          <w:p>
            <w:pPr>
              <w:pStyle w:val="null3"/>
            </w:pPr>
            <w:r>
              <w:rPr>
                <w:rFonts w:ascii="仿宋_GB2312" w:hAnsi="仿宋_GB2312" w:cs="仿宋_GB2312" w:eastAsia="仿宋_GB2312"/>
              </w:rPr>
              <w:t>2.组织针对本项目的专项调研，并及时沟通调研成果，规划过程中的一般问题应由专业规划设计人员负责处理，并及时将处理结果向总规划师汇报，重大事项由总规划师及时向西安浐灞国际港管理委员会汇报，特殊问题应会同西安浐灞国际港管理委员会方进行专题讨论和研究，必要时进行专题研讨，请教业内专家，切实保证规划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供应商配备人员需满足项目要求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自合同签订之日起至通过行政主管部门的审查，并取得审查通过意见为止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和及合同要求，符合竞争性磋商文件、成交供应商的磋商文件、澄清文件和成交通知书的要求等,乙方应严格按照上述及采购人要求实施项目服务，乙方应按本合同规定进行设计工作并提交规划设计成果及相关文件，甲方有权对乙方提交的成果提出修改意见，乙方应负责无偿修改至通过行政主管部门技术审查为止。</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合同签订为付款条件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乙方提交的阶段性成果通过专家会评审为付款条件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乙方技术成果通过相关行政部门审核为付款条件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提供（1）或提供（2）：（1）提供2024年度经审计的财务报告复印件，应满足以下要求：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财务报表复印件（不要求必须是经审计的）。（2）提供资信证明原件或复印件，应满足以下要求： ① 资信证明须为递交响应文件截止时间前三个月内由供应商开户银行出具。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具有行政主管部门颁发的城乡规划编制甲级资质。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拟派项目负责人具有注册城乡规划师资格，在本单位注册。</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技术偏离表 分项报价表 中小企业声明函 商务应答表 报价表 响应文件封面 企业业绩 身份证明文件 资格证明文件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技术偏离表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供应商提供2022年1月1日起至今的类似项目业绩，每提供一份得2分，满分10分。（业绩以合同扫描件为准，时间以合同签订日期为准。）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项目团队成员（除项目负责人外）具备本项目所需的专业（城市规划、土地规划、城市交通、市政工程、测绘工程等相关专业）高级及以上职称的每个计2分，中级职称的每个计0.5分，其他不得分，满分14分。 注：以职称证等证明材料为依据。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依照采购需求及要求，结合各工作实际情况，针对采购人要求的服务内容、服务工作要求、制定切实可行的整体服务方案。从方案设置的合理性、细化流程、运作流程、管理方式科学、有针对性和可行性等角度考量得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项目实施组织机构完善，能够针对本项目列出清晰的管理流程，明确项目管理职责与分工得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项目具体情况制定详细的服务保障措施，包括人员管理保障措施、与采购人工作配合的保障措施、进度保障措施等，得4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总体发展规划技术方案</w:t>
            </w:r>
          </w:p>
        </w:tc>
        <w:tc>
          <w:tcPr>
            <w:tcW w:type="dxa" w:w="2492"/>
          </w:tcPr>
          <w:p>
            <w:pPr>
              <w:pStyle w:val="null3"/>
            </w:pPr>
            <w:r>
              <w:rPr>
                <w:rFonts w:ascii="仿宋_GB2312" w:hAnsi="仿宋_GB2312" w:cs="仿宋_GB2312" w:eastAsia="仿宋_GB2312"/>
              </w:rPr>
              <w:t>供应商提供总体发展规划技术响应方案（包括但不限于规划编制的基础、技术思路和方法等内容）。方案详细全面得20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产业发展规划技术方案</w:t>
            </w:r>
          </w:p>
        </w:tc>
        <w:tc>
          <w:tcPr>
            <w:tcW w:type="dxa" w:w="2492"/>
          </w:tcPr>
          <w:p>
            <w:pPr>
              <w:pStyle w:val="null3"/>
            </w:pPr>
            <w:r>
              <w:rPr>
                <w:rFonts w:ascii="仿宋_GB2312" w:hAnsi="仿宋_GB2312" w:cs="仿宋_GB2312" w:eastAsia="仿宋_GB2312"/>
              </w:rPr>
              <w:t>供应商提供产业发展规划技术响应方案（包括但不限于规划编制的基础、技术思路和方法等内容）。方案详细全面得20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规章制度</w:t>
            </w:r>
          </w:p>
        </w:tc>
        <w:tc>
          <w:tcPr>
            <w:tcW w:type="dxa" w:w="2492"/>
          </w:tcPr>
          <w:p>
            <w:pPr>
              <w:pStyle w:val="null3"/>
            </w:pPr>
            <w:r>
              <w:rPr>
                <w:rFonts w:ascii="仿宋_GB2312" w:hAnsi="仿宋_GB2312" w:cs="仿宋_GB2312" w:eastAsia="仿宋_GB2312"/>
              </w:rPr>
              <w:t>供应商制定了完善的各项规章制度，包含人员管理办法、服务质量标准、人员考核办法等内容，管理规章制度齐全、合理、切实可行得4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的应急预案得4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有定期回访服务对象相关部门的安排方案及意见反馈机制，确保服务对象的具体需求得到落实得4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经资格审查、符合性审查合格的磋商响应文件，其磋商报价为有效磋商报价。满足磋商文件要求且磋商价格最低的磋商报价为评审基准价，其价格分为满分。价格分按照下列公式计算： 报价总得分=（评审基准价/磋商总报价）×价格分。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详见附件：身份证明文件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