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66D933">
      <w:pPr>
        <w:keepNext w:val="0"/>
        <w:keepLines w:val="0"/>
        <w:pageBreakBefore w:val="0"/>
        <w:widowControl/>
        <w:tabs>
          <w:tab w:val="left" w:pos="735"/>
        </w:tabs>
        <w:kinsoku/>
        <w:wordWrap/>
        <w:overflowPunct/>
        <w:topLinePunct w:val="0"/>
        <w:autoSpaceDE w:val="0"/>
        <w:autoSpaceDN w:val="0"/>
        <w:bidi w:val="0"/>
        <w:adjustRightInd w:val="0"/>
        <w:snapToGrid w:val="0"/>
        <w:spacing w:after="0" w:line="360" w:lineRule="auto"/>
        <w:ind w:right="0"/>
        <w:rPr>
          <w:rFonts w:ascii="仿宋" w:hAnsi="仿宋" w:eastAsia="仿宋" w:cs="仿宋"/>
          <w:b/>
          <w:bCs/>
          <w:sz w:val="24"/>
          <w:lang w:val="zh-CN" w:eastAsia="zh-CN"/>
        </w:rPr>
      </w:pPr>
      <w:r>
        <w:rPr>
          <w:rFonts w:hint="eastAsia" w:ascii="仿宋" w:hAnsi="仿宋" w:eastAsia="仿宋" w:cs="仿宋"/>
          <w:b/>
          <w:bCs/>
          <w:sz w:val="24"/>
          <w:lang w:val="zh-CN" w:eastAsia="zh-CN"/>
        </w:rPr>
        <w:t>甲方：</w:t>
      </w:r>
      <w:r>
        <w:rPr>
          <w:rFonts w:hint="eastAsia" w:ascii="仿宋" w:hAnsi="仿宋" w:eastAsia="仿宋" w:cs="仿宋"/>
          <w:bCs/>
          <w:sz w:val="24"/>
          <w:lang w:val="zh-CN" w:eastAsia="zh-CN"/>
        </w:rPr>
        <w:t xml:space="preserve">（前款所称采购人）     </w:t>
      </w:r>
      <w:r>
        <w:rPr>
          <w:rFonts w:hint="eastAsia" w:ascii="仿宋" w:hAnsi="仿宋" w:eastAsia="仿宋" w:cs="仿宋"/>
          <w:bCs/>
          <w:sz w:val="24"/>
          <w:lang w:eastAsia="zh-CN"/>
        </w:rPr>
        <w:t xml:space="preserve">    </w:t>
      </w:r>
      <w:r>
        <w:rPr>
          <w:rFonts w:hint="eastAsia" w:ascii="仿宋" w:hAnsi="仿宋" w:eastAsia="仿宋" w:cs="仿宋"/>
          <w:bCs/>
          <w:sz w:val="24"/>
          <w:lang w:val="zh-CN" w:eastAsia="zh-CN"/>
        </w:rPr>
        <w:t>住所：</w:t>
      </w:r>
    </w:p>
    <w:p w14:paraId="7A9C8AB1">
      <w:pPr>
        <w:keepNext w:val="0"/>
        <w:keepLines w:val="0"/>
        <w:pageBreakBefore w:val="0"/>
        <w:widowControl/>
        <w:tabs>
          <w:tab w:val="left" w:pos="735"/>
        </w:tabs>
        <w:kinsoku/>
        <w:wordWrap/>
        <w:overflowPunct/>
        <w:topLinePunct w:val="0"/>
        <w:autoSpaceDE w:val="0"/>
        <w:autoSpaceDN w:val="0"/>
        <w:bidi w:val="0"/>
        <w:adjustRightInd w:val="0"/>
        <w:snapToGrid w:val="0"/>
        <w:spacing w:after="0" w:line="360" w:lineRule="auto"/>
        <w:ind w:right="0"/>
        <w:rPr>
          <w:rFonts w:ascii="仿宋" w:hAnsi="仿宋" w:eastAsia="仿宋" w:cs="仿宋"/>
          <w:bCs/>
          <w:sz w:val="24"/>
          <w:lang w:val="zh-CN" w:eastAsia="zh-CN"/>
        </w:rPr>
      </w:pPr>
      <w:r>
        <w:rPr>
          <w:rFonts w:hint="eastAsia" w:ascii="仿宋" w:hAnsi="仿宋" w:eastAsia="仿宋" w:cs="仿宋"/>
          <w:b/>
          <w:bCs/>
          <w:sz w:val="24"/>
          <w:lang w:val="zh-CN" w:eastAsia="zh-CN"/>
        </w:rPr>
        <w:t>乙方：</w:t>
      </w:r>
      <w:r>
        <w:rPr>
          <w:rFonts w:hint="eastAsia" w:ascii="仿宋" w:hAnsi="仿宋" w:eastAsia="仿宋" w:cs="仿宋"/>
          <w:bCs/>
          <w:sz w:val="24"/>
          <w:lang w:val="zh-CN" w:eastAsia="zh-CN"/>
        </w:rPr>
        <w:t>（前款所称</w:t>
      </w:r>
      <w:r>
        <w:rPr>
          <w:rFonts w:hint="eastAsia" w:ascii="仿宋" w:hAnsi="仿宋" w:eastAsia="仿宋" w:cs="仿宋"/>
          <w:bCs/>
          <w:sz w:val="24"/>
          <w:lang w:eastAsia="zh-CN"/>
        </w:rPr>
        <w:t>成交供应商</w:t>
      </w:r>
      <w:r>
        <w:rPr>
          <w:rFonts w:hint="eastAsia" w:ascii="仿宋" w:hAnsi="仿宋" w:eastAsia="仿宋" w:cs="仿宋"/>
          <w:bCs/>
          <w:sz w:val="24"/>
          <w:lang w:val="zh-CN" w:eastAsia="zh-CN"/>
        </w:rPr>
        <w:t>）     住所：</w:t>
      </w:r>
    </w:p>
    <w:p w14:paraId="09E3DB57">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一、合同内容</w:t>
      </w:r>
    </w:p>
    <w:p w14:paraId="1B7D859D">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eastAsia" w:ascii="仿宋" w:hAnsi="仿宋" w:eastAsia="仿宋" w:cs="仿宋"/>
          <w:sz w:val="24"/>
          <w:lang w:eastAsia="zh-CN"/>
        </w:rPr>
      </w:pPr>
      <w:r>
        <w:rPr>
          <w:rFonts w:hint="eastAsia" w:ascii="仿宋" w:hAnsi="仿宋" w:eastAsia="仿宋" w:cs="仿宋"/>
          <w:sz w:val="24"/>
          <w:lang w:eastAsia="zh-CN"/>
        </w:rPr>
        <w:t>1、服务内容：完成编制西安浐灞国际港总体发展规划文本；西安浐灞国际港总体发展规划图册；西安浐灞国际港总体发展规划说明书；西安浐灞国际港产业发展规划；西安浐灞国际港主导产业图，并通过行政主管部门审核。</w:t>
      </w:r>
    </w:p>
    <w:p w14:paraId="6FA6939F">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hint="default" w:ascii="仿宋" w:hAnsi="仿宋" w:eastAsia="仿宋" w:cs="仿宋"/>
          <w:sz w:val="24"/>
          <w:lang w:val="en-US" w:eastAsia="zh-CN"/>
        </w:rPr>
      </w:pPr>
      <w:r>
        <w:rPr>
          <w:rFonts w:hint="eastAsia" w:ascii="仿宋" w:hAnsi="仿宋" w:eastAsia="仿宋" w:cs="仿宋"/>
          <w:sz w:val="24"/>
          <w:lang w:val="en-US" w:eastAsia="zh-CN"/>
        </w:rPr>
        <w:t>2</w:t>
      </w:r>
      <w:r>
        <w:rPr>
          <w:rFonts w:hint="eastAsia" w:ascii="仿宋" w:hAnsi="仿宋" w:eastAsia="仿宋" w:cs="仿宋"/>
          <w:sz w:val="24"/>
          <w:lang w:eastAsia="zh-CN"/>
        </w:rPr>
        <w:t>、数量：以上文件资料均提供纸质版6份；电子版2份</w:t>
      </w:r>
      <w:bookmarkStart w:id="0" w:name="_GoBack"/>
      <w:bookmarkEnd w:id="0"/>
      <w:r>
        <w:rPr>
          <w:rFonts w:hint="eastAsia" w:ascii="仿宋" w:hAnsi="仿宋" w:eastAsia="仿宋" w:cs="仿宋"/>
          <w:sz w:val="24"/>
          <w:lang w:eastAsia="zh-CN"/>
        </w:rPr>
        <w:t>（PDF及W</w:t>
      </w:r>
      <w:r>
        <w:rPr>
          <w:rFonts w:ascii="仿宋" w:hAnsi="仿宋" w:eastAsia="仿宋" w:cs="仿宋"/>
          <w:sz w:val="24"/>
          <w:lang w:eastAsia="zh-CN"/>
        </w:rPr>
        <w:t>ORD</w:t>
      </w:r>
      <w:r>
        <w:rPr>
          <w:rFonts w:hint="eastAsia" w:ascii="仿宋" w:hAnsi="仿宋" w:eastAsia="仿宋" w:cs="仿宋"/>
          <w:sz w:val="24"/>
          <w:lang w:eastAsia="zh-CN"/>
        </w:rPr>
        <w:t>格式），刻录成光盘。</w:t>
      </w:r>
    </w:p>
    <w:p w14:paraId="464B9EDB">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val="en-US" w:eastAsia="zh-CN"/>
        </w:rPr>
        <w:t>3</w:t>
      </w:r>
      <w:r>
        <w:rPr>
          <w:rFonts w:hint="eastAsia" w:ascii="仿宋" w:hAnsi="仿宋" w:eastAsia="仿宋" w:cs="仿宋"/>
          <w:sz w:val="24"/>
          <w:lang w:eastAsia="zh-CN"/>
        </w:rPr>
        <w:t>、工作环节：提交初稿，征求甲方各部门意见，召开专家评审会，上报行政主管部门审查。</w:t>
      </w:r>
    </w:p>
    <w:p w14:paraId="4C2DB568">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二、合同价款</w:t>
      </w:r>
    </w:p>
    <w:p w14:paraId="71B670F2">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1、合同价格：</w:t>
      </w:r>
      <w:r>
        <w:rPr>
          <w:rFonts w:hint="eastAsia" w:ascii="仿宋" w:hAnsi="仿宋" w:eastAsia="仿宋" w:cs="仿宋"/>
          <w:sz w:val="24"/>
          <w:u w:val="single"/>
          <w:lang w:eastAsia="zh-CN"/>
        </w:rPr>
        <w:t xml:space="preserve">         </w:t>
      </w:r>
      <w:r>
        <w:rPr>
          <w:rFonts w:hint="eastAsia" w:ascii="仿宋" w:hAnsi="仿宋" w:eastAsia="仿宋" w:cs="仿宋"/>
          <w:sz w:val="24"/>
          <w:lang w:eastAsia="zh-CN"/>
        </w:rPr>
        <w:t>元（大写：     ）</w:t>
      </w:r>
    </w:p>
    <w:p w14:paraId="0E64C204">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2、合同价款包括：</w:t>
      </w:r>
    </w:p>
    <w:p w14:paraId="1FE28088">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三、合同结算</w:t>
      </w:r>
    </w:p>
    <w:p w14:paraId="3CC8F8C9">
      <w:pPr>
        <w:pStyle w:val="13"/>
        <w:keepNext w:val="0"/>
        <w:keepLines w:val="0"/>
        <w:pageBreakBefore w:val="0"/>
        <w:widowControl/>
        <w:kinsoku/>
        <w:wordWrap/>
        <w:overflowPunct/>
        <w:topLinePunct w:val="0"/>
        <w:bidi w:val="0"/>
        <w:snapToGrid w:val="0"/>
        <w:spacing w:after="0" w:line="360" w:lineRule="auto"/>
        <w:ind w:right="0" w:firstLineChars="200"/>
        <w:rPr>
          <w:rFonts w:hint="eastAsia" w:ascii="仿宋" w:hAnsi="仿宋" w:eastAsia="仿宋" w:cs="仿宋"/>
          <w:lang w:eastAsia="zh-CN"/>
        </w:rPr>
      </w:pPr>
      <w:r>
        <w:rPr>
          <w:rFonts w:ascii="仿宋" w:hAnsi="仿宋" w:eastAsia="仿宋" w:cs="仿宋"/>
          <w:lang w:eastAsia="zh-CN"/>
        </w:rPr>
        <w:t>1</w:t>
      </w:r>
      <w:r>
        <w:rPr>
          <w:rFonts w:hint="eastAsia" w:ascii="仿宋" w:hAnsi="仿宋" w:eastAsia="仿宋" w:cs="仿宋"/>
          <w:lang w:eastAsia="zh-CN"/>
        </w:rPr>
        <w:t>、付款方式：</w:t>
      </w:r>
    </w:p>
    <w:p w14:paraId="5A855397">
      <w:pPr>
        <w:pStyle w:val="13"/>
        <w:keepNext w:val="0"/>
        <w:keepLines w:val="0"/>
        <w:pageBreakBefore w:val="0"/>
        <w:widowControl/>
        <w:kinsoku/>
        <w:wordWrap/>
        <w:overflowPunct/>
        <w:topLinePunct w:val="0"/>
        <w:bidi w:val="0"/>
        <w:snapToGrid w:val="0"/>
        <w:spacing w:after="0" w:line="360" w:lineRule="auto"/>
        <w:ind w:right="0"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rPr>
        <w:t>合同签订</w:t>
      </w:r>
      <w:r>
        <w:rPr>
          <w:rFonts w:hint="eastAsia" w:ascii="仿宋" w:hAnsi="仿宋" w:eastAsia="仿宋" w:cs="仿宋"/>
          <w:szCs w:val="22"/>
          <w:highlight w:val="none"/>
          <w:lang w:eastAsia="zh-CN"/>
        </w:rPr>
        <w:t>为付款条件</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达到付款条件起</w:t>
      </w:r>
      <w:r>
        <w:rPr>
          <w:rFonts w:hint="eastAsia" w:ascii="仿宋" w:hAnsi="仿宋" w:eastAsia="仿宋" w:cs="仿宋"/>
          <w:color w:val="auto"/>
          <w:highlight w:val="none"/>
          <w:lang w:val="en-US" w:eastAsia="zh-CN"/>
        </w:rPr>
        <w:t>15</w:t>
      </w:r>
      <w:r>
        <w:rPr>
          <w:rFonts w:hint="eastAsia" w:ascii="仿宋" w:hAnsi="仿宋" w:eastAsia="仿宋" w:cs="仿宋"/>
          <w:color w:val="auto"/>
          <w:highlight w:val="none"/>
        </w:rPr>
        <w:t>日内，支付合同总金额的</w:t>
      </w:r>
      <w:r>
        <w:rPr>
          <w:rFonts w:hint="eastAsia" w:ascii="仿宋" w:hAnsi="仿宋" w:eastAsia="仿宋" w:cs="仿宋"/>
          <w:color w:val="auto"/>
          <w:highlight w:val="none"/>
          <w:lang w:val="en-US" w:eastAsia="zh-CN"/>
        </w:rPr>
        <w:t>30</w:t>
      </w:r>
      <w:r>
        <w:rPr>
          <w:rFonts w:hint="eastAsia" w:ascii="仿宋" w:hAnsi="仿宋" w:eastAsia="仿宋" w:cs="仿宋"/>
          <w:color w:val="auto"/>
          <w:highlight w:val="none"/>
        </w:rPr>
        <w:t>.00%</w:t>
      </w:r>
      <w:r>
        <w:rPr>
          <w:rFonts w:hint="eastAsia" w:ascii="仿宋" w:hAnsi="仿宋" w:eastAsia="仿宋" w:cs="仿宋"/>
          <w:color w:val="auto"/>
          <w:highlight w:val="none"/>
          <w:lang w:eastAsia="zh-CN"/>
        </w:rPr>
        <w:t>。</w:t>
      </w:r>
    </w:p>
    <w:p w14:paraId="4028224A">
      <w:pPr>
        <w:pStyle w:val="13"/>
        <w:keepNext w:val="0"/>
        <w:keepLines w:val="0"/>
        <w:pageBreakBefore w:val="0"/>
        <w:widowControl/>
        <w:kinsoku/>
        <w:wordWrap/>
        <w:overflowPunct/>
        <w:topLinePunct w:val="0"/>
        <w:bidi w:val="0"/>
        <w:snapToGrid w:val="0"/>
        <w:spacing w:after="0" w:line="360" w:lineRule="auto"/>
        <w:ind w:right="0" w:firstLineChars="200"/>
        <w:rPr>
          <w:rFonts w:hint="eastAsia" w:ascii="仿宋" w:hAnsi="仿宋" w:eastAsia="仿宋" w:cs="仿宋"/>
          <w:color w:val="auto"/>
          <w:highlight w:val="none"/>
          <w:lang w:eastAsia="zh-CN"/>
        </w:rPr>
      </w:pPr>
      <w:r>
        <w:rPr>
          <w:rFonts w:hint="eastAsia" w:ascii="仿宋" w:hAnsi="仿宋" w:eastAsia="仿宋" w:cs="仿宋"/>
          <w:szCs w:val="22"/>
          <w:highlight w:val="none"/>
          <w:lang w:eastAsia="zh-CN"/>
        </w:rPr>
        <w:t>乙方提交的阶段性成果通过专家会评审为付款条件</w:t>
      </w:r>
      <w:r>
        <w:rPr>
          <w:rFonts w:hint="eastAsia" w:ascii="仿宋" w:hAnsi="仿宋" w:eastAsia="仿宋" w:cs="仿宋"/>
          <w:color w:val="auto"/>
          <w:highlight w:val="none"/>
        </w:rPr>
        <w:t>，达到付款条件起</w:t>
      </w:r>
      <w:r>
        <w:rPr>
          <w:rFonts w:hint="eastAsia" w:ascii="仿宋" w:hAnsi="仿宋" w:eastAsia="仿宋" w:cs="仿宋"/>
          <w:color w:val="auto"/>
          <w:highlight w:val="none"/>
          <w:lang w:val="en-US" w:eastAsia="zh-CN"/>
        </w:rPr>
        <w:t>15</w:t>
      </w:r>
      <w:r>
        <w:rPr>
          <w:rFonts w:hint="eastAsia" w:ascii="仿宋" w:hAnsi="仿宋" w:eastAsia="仿宋" w:cs="仿宋"/>
          <w:color w:val="auto"/>
          <w:highlight w:val="none"/>
        </w:rPr>
        <w:t>日内，支付合同总金额的</w:t>
      </w:r>
      <w:r>
        <w:rPr>
          <w:rFonts w:hint="eastAsia" w:ascii="仿宋" w:hAnsi="仿宋" w:eastAsia="仿宋" w:cs="仿宋"/>
          <w:color w:val="auto"/>
          <w:highlight w:val="none"/>
          <w:lang w:val="en-US" w:eastAsia="zh-CN"/>
        </w:rPr>
        <w:t>50</w:t>
      </w:r>
      <w:r>
        <w:rPr>
          <w:rFonts w:hint="eastAsia" w:ascii="仿宋" w:hAnsi="仿宋" w:eastAsia="仿宋" w:cs="仿宋"/>
          <w:color w:val="auto"/>
          <w:highlight w:val="none"/>
        </w:rPr>
        <w:t>.00%</w:t>
      </w:r>
      <w:r>
        <w:rPr>
          <w:rFonts w:hint="eastAsia" w:ascii="仿宋" w:hAnsi="仿宋" w:eastAsia="仿宋" w:cs="仿宋"/>
          <w:color w:val="auto"/>
          <w:highlight w:val="none"/>
          <w:lang w:eastAsia="zh-CN"/>
        </w:rPr>
        <w:t>。</w:t>
      </w:r>
    </w:p>
    <w:p w14:paraId="79E4170B">
      <w:pPr>
        <w:pStyle w:val="13"/>
        <w:keepNext w:val="0"/>
        <w:keepLines w:val="0"/>
        <w:pageBreakBefore w:val="0"/>
        <w:widowControl/>
        <w:kinsoku/>
        <w:wordWrap/>
        <w:overflowPunct/>
        <w:topLinePunct w:val="0"/>
        <w:bidi w:val="0"/>
        <w:snapToGrid w:val="0"/>
        <w:spacing w:after="0" w:line="360" w:lineRule="auto"/>
        <w:ind w:right="0" w:firstLineChars="200"/>
        <w:rPr>
          <w:rFonts w:hint="eastAsia" w:ascii="仿宋" w:hAnsi="仿宋" w:eastAsia="仿宋" w:cs="仿宋"/>
          <w:highlight w:val="none"/>
          <w:lang w:eastAsia="zh-CN"/>
        </w:rPr>
      </w:pPr>
      <w:r>
        <w:rPr>
          <w:rFonts w:hint="eastAsia" w:ascii="仿宋" w:hAnsi="仿宋" w:eastAsia="仿宋" w:cs="仿宋"/>
          <w:szCs w:val="22"/>
          <w:highlight w:val="none"/>
          <w:lang w:eastAsia="zh-CN"/>
        </w:rPr>
        <w:t>乙方技术成果通过相关行政部门审核为付款条件</w:t>
      </w:r>
      <w:r>
        <w:rPr>
          <w:rFonts w:hint="eastAsia" w:ascii="仿宋" w:hAnsi="仿宋" w:eastAsia="仿宋" w:cs="仿宋"/>
          <w:color w:val="auto"/>
          <w:highlight w:val="none"/>
        </w:rPr>
        <w:t>，达到付款条件起</w:t>
      </w:r>
      <w:r>
        <w:rPr>
          <w:rFonts w:hint="eastAsia" w:ascii="仿宋" w:hAnsi="仿宋" w:eastAsia="仿宋" w:cs="仿宋"/>
          <w:color w:val="auto"/>
          <w:highlight w:val="none"/>
          <w:lang w:val="en-US" w:eastAsia="zh-CN"/>
        </w:rPr>
        <w:t>15</w:t>
      </w:r>
      <w:r>
        <w:rPr>
          <w:rFonts w:hint="eastAsia" w:ascii="仿宋" w:hAnsi="仿宋" w:eastAsia="仿宋" w:cs="仿宋"/>
          <w:color w:val="auto"/>
          <w:highlight w:val="none"/>
        </w:rPr>
        <w:t>日内，支付合同总金额的</w:t>
      </w:r>
      <w:r>
        <w:rPr>
          <w:rFonts w:hint="eastAsia" w:ascii="仿宋" w:hAnsi="仿宋" w:eastAsia="仿宋" w:cs="仿宋"/>
          <w:color w:val="auto"/>
          <w:highlight w:val="none"/>
          <w:lang w:val="en-US" w:eastAsia="zh-CN"/>
        </w:rPr>
        <w:t>20</w:t>
      </w:r>
      <w:r>
        <w:rPr>
          <w:rFonts w:hint="eastAsia" w:ascii="仿宋" w:hAnsi="仿宋" w:eastAsia="仿宋" w:cs="仿宋"/>
          <w:color w:val="auto"/>
          <w:highlight w:val="none"/>
        </w:rPr>
        <w:t>.00%</w:t>
      </w:r>
      <w:r>
        <w:rPr>
          <w:rFonts w:hint="eastAsia" w:ascii="仿宋" w:hAnsi="仿宋" w:eastAsia="仿宋" w:cs="仿宋"/>
          <w:color w:val="auto"/>
          <w:highlight w:val="none"/>
          <w:lang w:eastAsia="zh-CN"/>
        </w:rPr>
        <w:t>。</w:t>
      </w:r>
    </w:p>
    <w:p w14:paraId="225E90A4">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2.结算方式：银行转账。</w:t>
      </w:r>
    </w:p>
    <w:p w14:paraId="009DF840">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trike/>
          <w:sz w:val="24"/>
          <w:lang w:eastAsia="zh-CN"/>
        </w:rPr>
      </w:pPr>
      <w:r>
        <w:rPr>
          <w:rFonts w:hint="eastAsia" w:ascii="仿宋" w:hAnsi="仿宋" w:eastAsia="仿宋" w:cs="仿宋"/>
          <w:sz w:val="24"/>
          <w:lang w:eastAsia="zh-CN"/>
        </w:rPr>
        <w:t>3.甲方付款前乙方开具等额正式发票。</w:t>
      </w:r>
    </w:p>
    <w:p w14:paraId="0CFA4B99">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四、合同期限、地点：</w:t>
      </w:r>
    </w:p>
    <w:p w14:paraId="36B43361">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1.合同期限：自合同签订之日起至乙方交付的成果文件通过行政主管部门技术审查为止。</w:t>
      </w:r>
    </w:p>
    <w:p w14:paraId="77A69B65">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2.地点：采购人指定地点</w:t>
      </w:r>
    </w:p>
    <w:p w14:paraId="32AE7B22">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3.交付标准：自甲方完整提供全部所需资料之日起 [   ] 个工作日内，乙方需按要求向甲方提交符合双方约定（包含格式、质量、具体技术要求等）的成果文件。</w:t>
      </w:r>
      <w:r>
        <w:rPr>
          <w:rFonts w:hint="eastAsia" w:ascii="仿宋" w:hAnsi="仿宋" w:eastAsia="仿宋" w:cs="仿宋"/>
          <w:sz w:val="24"/>
          <w:lang w:eastAsia="zh-CN"/>
        </w:rPr>
        <w:br w:type="textWrapping"/>
      </w:r>
      <w:r>
        <w:rPr>
          <w:rFonts w:hint="eastAsia" w:ascii="仿宋" w:hAnsi="仿宋" w:eastAsia="仿宋" w:cs="仿宋"/>
          <w:sz w:val="24"/>
          <w:lang w:eastAsia="zh-CN"/>
        </w:rPr>
        <w:t xml:space="preserve">    五、技术服务</w:t>
      </w:r>
    </w:p>
    <w:p w14:paraId="41DDAD17">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1、对技术服务的要求：</w:t>
      </w:r>
    </w:p>
    <w:p w14:paraId="28AD0E5E">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西安浐灞国际港总体发展规划》技术服务内容包含发展定位及目标、土地利用情况分析、产业发展规划、用地布局规划、交通规划、公共服务设施规划、市政规划、绿地系统规划、综合防灾规划、生态环境保护规划、近期建设计划等。</w:t>
      </w:r>
    </w:p>
    <w:p w14:paraId="28D5E0F2">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《西安浐灞国际港产业发展规划》技术服务内容包含规划总则、产业发展要素、产业发展环境、发展思路与目标、重点产业引导、产业发展格局、发展路径与支撑保障等内容。</w:t>
      </w:r>
    </w:p>
    <w:p w14:paraId="1A5EDF07">
      <w:pPr>
        <w:keepNext w:val="0"/>
        <w:keepLines w:val="0"/>
        <w:pageBreakBefore w:val="0"/>
        <w:widowControl/>
        <w:numPr>
          <w:ilvl w:val="0"/>
          <w:numId w:val="1"/>
        </w:numPr>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技术成果：西安浐灞国际港总体发展规划文本；西安浐灞国际港总体发展规划图册；西安浐灞国际港总体发展规划说明书；西安浐灞国际港产业发展规划；西安浐灞国际港主导产业图（以上资料提供纸质版6份；电子版2份（PDF及W</w:t>
      </w:r>
      <w:r>
        <w:rPr>
          <w:rFonts w:ascii="仿宋" w:hAnsi="仿宋" w:eastAsia="仿宋" w:cs="仿宋"/>
          <w:sz w:val="24"/>
          <w:lang w:eastAsia="zh-CN"/>
        </w:rPr>
        <w:t>ORD</w:t>
      </w:r>
      <w:r>
        <w:rPr>
          <w:rFonts w:hint="eastAsia" w:ascii="仿宋" w:hAnsi="仿宋" w:eastAsia="仿宋" w:cs="仿宋"/>
          <w:sz w:val="24"/>
          <w:lang w:eastAsia="zh-CN"/>
        </w:rPr>
        <w:t>格式），刻录成光盘）。</w:t>
      </w:r>
    </w:p>
    <w:p w14:paraId="50C6960D">
      <w:pPr>
        <w:keepNext w:val="0"/>
        <w:keepLines w:val="0"/>
        <w:pageBreakBefore w:val="0"/>
        <w:widowControl/>
        <w:numPr>
          <w:ilvl w:val="0"/>
          <w:numId w:val="1"/>
        </w:numPr>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成果验收：乙方提交的成果文件经对应行政主管部门技术审查通过后视为验收合格。</w:t>
      </w:r>
    </w:p>
    <w:p w14:paraId="556087C5">
      <w:pPr>
        <w:keepNext w:val="0"/>
        <w:keepLines w:val="0"/>
        <w:pageBreakBefore w:val="0"/>
        <w:widowControl/>
        <w:kinsoku/>
        <w:wordWrap/>
        <w:overflowPunct/>
        <w:topLinePunct w:val="0"/>
        <w:bidi w:val="0"/>
        <w:adjustRightInd w:val="0"/>
        <w:snapToGrid w:val="0"/>
        <w:spacing w:after="0" w:line="360" w:lineRule="auto"/>
        <w:ind w:right="0" w:firstLine="480" w:firstLineChars="200"/>
        <w:outlineLvl w:val="0"/>
        <w:rPr>
          <w:rFonts w:ascii="仿宋" w:hAnsi="仿宋" w:eastAsia="仿宋" w:cs="仿宋"/>
          <w:b/>
          <w:bCs/>
          <w:sz w:val="24"/>
          <w:lang w:eastAsia="zh-CN"/>
        </w:rPr>
      </w:pPr>
      <w:r>
        <w:rPr>
          <w:rFonts w:hint="eastAsia" w:ascii="仿宋" w:hAnsi="仿宋" w:eastAsia="仿宋" w:cs="仿宋"/>
          <w:sz w:val="24"/>
          <w:lang w:eastAsia="zh-CN"/>
        </w:rPr>
        <w:t>六、</w:t>
      </w:r>
      <w:r>
        <w:rPr>
          <w:rFonts w:hint="eastAsia" w:ascii="仿宋" w:hAnsi="仿宋" w:eastAsia="仿宋" w:cs="仿宋"/>
          <w:b/>
          <w:bCs/>
          <w:sz w:val="24"/>
          <w:lang w:eastAsia="zh-CN"/>
        </w:rPr>
        <w:t>甲方责任</w:t>
      </w:r>
    </w:p>
    <w:p w14:paraId="37EEB61F">
      <w:pPr>
        <w:pStyle w:val="13"/>
        <w:keepNext w:val="0"/>
        <w:keepLines w:val="0"/>
        <w:pageBreakBefore w:val="0"/>
        <w:widowControl/>
        <w:kinsoku/>
        <w:wordWrap/>
        <w:overflowPunct/>
        <w:topLinePunct w:val="0"/>
        <w:bidi w:val="0"/>
        <w:snapToGrid w:val="0"/>
        <w:spacing w:after="0" w:line="360" w:lineRule="auto"/>
        <w:ind w:right="0" w:firstLineChars="200"/>
        <w:rPr>
          <w:rFonts w:ascii="仿宋" w:hAnsi="仿宋" w:eastAsia="仿宋" w:cs="仿宋"/>
          <w:szCs w:val="24"/>
          <w:lang w:eastAsia="zh-CN"/>
        </w:rPr>
      </w:pPr>
      <w:r>
        <w:rPr>
          <w:rFonts w:hint="eastAsia" w:ascii="仿宋" w:hAnsi="仿宋" w:eastAsia="仿宋" w:cs="仿宋"/>
          <w:szCs w:val="24"/>
          <w:lang w:eastAsia="zh-CN"/>
        </w:rPr>
        <w:t>1、甲方应在本合同签订后五日内，向乙方提交本合同所有设计基础资料。逾期超过十五日，乙方按本合同规定交付设计文件的时间相应顺延，甲方应当对其提供资料的真实性、正确性、全面性、合法性负责。</w:t>
      </w:r>
    </w:p>
    <w:p w14:paraId="1AED75A0">
      <w:pPr>
        <w:pStyle w:val="13"/>
        <w:keepNext w:val="0"/>
        <w:keepLines w:val="0"/>
        <w:pageBreakBefore w:val="0"/>
        <w:widowControl/>
        <w:kinsoku/>
        <w:wordWrap/>
        <w:overflowPunct/>
        <w:topLinePunct w:val="0"/>
        <w:bidi w:val="0"/>
        <w:snapToGrid w:val="0"/>
        <w:spacing w:after="0" w:line="360" w:lineRule="auto"/>
        <w:ind w:right="0" w:firstLineChars="200"/>
        <w:rPr>
          <w:rFonts w:ascii="仿宋" w:hAnsi="仿宋" w:eastAsia="仿宋" w:cs="仿宋"/>
          <w:szCs w:val="24"/>
          <w:lang w:eastAsia="zh-CN"/>
        </w:rPr>
      </w:pPr>
      <w:r>
        <w:rPr>
          <w:rFonts w:hint="eastAsia" w:ascii="仿宋" w:hAnsi="仿宋" w:eastAsia="仿宋" w:cs="仿宋"/>
          <w:szCs w:val="24"/>
          <w:lang w:eastAsia="zh-CN"/>
        </w:rPr>
        <w:t>2、甲方应按本合同规定内容如期如数向乙方支付设计费，本合同设计费必须由甲方支付 (即直接由甲方账户汇入乙方账户内)。如甲方改由任何其他公司(包括其子公司及母公司)支付，应签署三方委托付款协议，表明受托方同意代为支付本合同设计费。甲方须在汇款前告知乙方，并在汇款时备注相关信息。</w:t>
      </w:r>
    </w:p>
    <w:p w14:paraId="3EB66EA9">
      <w:pPr>
        <w:pStyle w:val="13"/>
        <w:keepNext w:val="0"/>
        <w:keepLines w:val="0"/>
        <w:pageBreakBefore w:val="0"/>
        <w:widowControl/>
        <w:tabs>
          <w:tab w:val="left" w:pos="840"/>
        </w:tabs>
        <w:kinsoku/>
        <w:wordWrap/>
        <w:overflowPunct/>
        <w:topLinePunct w:val="0"/>
        <w:bidi w:val="0"/>
        <w:snapToGrid w:val="0"/>
        <w:spacing w:after="0" w:line="360" w:lineRule="auto"/>
        <w:ind w:right="0" w:firstLineChars="200"/>
        <w:rPr>
          <w:rFonts w:ascii="仿宋" w:hAnsi="仿宋" w:eastAsia="仿宋" w:cs="仿宋"/>
          <w:szCs w:val="24"/>
          <w:lang w:eastAsia="zh-CN"/>
        </w:rPr>
      </w:pPr>
      <w:r>
        <w:rPr>
          <w:rFonts w:hint="eastAsia" w:ascii="仿宋" w:hAnsi="仿宋" w:eastAsia="仿宋" w:cs="仿宋"/>
          <w:szCs w:val="24"/>
          <w:lang w:eastAsia="zh-CN"/>
        </w:rPr>
        <w:t>3、甲方指定</w:t>
      </w:r>
      <w:r>
        <w:rPr>
          <w:rFonts w:hint="eastAsia" w:ascii="仿宋" w:hAnsi="仿宋" w:eastAsia="仿宋" w:cs="仿宋"/>
          <w:szCs w:val="24"/>
          <w:u w:val="single"/>
          <w:lang w:eastAsia="zh-CN"/>
        </w:rPr>
        <w:t xml:space="preserve">       </w:t>
      </w:r>
      <w:r>
        <w:rPr>
          <w:rFonts w:hint="eastAsia" w:ascii="仿宋" w:hAnsi="仿宋" w:eastAsia="仿宋" w:cs="仿宋"/>
          <w:szCs w:val="24"/>
          <w:lang w:eastAsia="zh-CN"/>
        </w:rPr>
        <w:t>为负责人，分别负责对接规划设计各项事宜。</w:t>
      </w:r>
    </w:p>
    <w:p w14:paraId="75ECE6D7">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lang w:eastAsia="zh-CN"/>
        </w:rPr>
      </w:pPr>
      <w:r>
        <w:rPr>
          <w:rFonts w:hint="eastAsia" w:ascii="仿宋" w:hAnsi="仿宋" w:eastAsia="仿宋" w:cs="仿宋"/>
          <w:sz w:val="24"/>
          <w:lang w:eastAsia="zh-CN"/>
        </w:rPr>
        <w:t>电话：</w:t>
      </w:r>
      <w:r>
        <w:rPr>
          <w:rFonts w:hint="eastAsia" w:ascii="仿宋" w:hAnsi="仿宋" w:eastAsia="仿宋" w:cs="仿宋"/>
          <w:sz w:val="24"/>
          <w:u w:val="single"/>
          <w:lang w:eastAsia="zh-CN"/>
        </w:rPr>
        <w:t xml:space="preserve">         </w:t>
      </w:r>
      <w:r>
        <w:rPr>
          <w:rFonts w:hint="eastAsia" w:ascii="仿宋" w:hAnsi="仿宋" w:eastAsia="仿宋" w:cs="仿宋"/>
          <w:sz w:val="24"/>
          <w:lang w:eastAsia="zh-CN"/>
        </w:rPr>
        <w:t>电邮：</w:t>
      </w:r>
      <w:r>
        <w:rPr>
          <w:rFonts w:hint="eastAsia" w:ascii="仿宋" w:hAnsi="仿宋" w:eastAsia="仿宋" w:cs="仿宋"/>
          <w:sz w:val="24"/>
          <w:u w:val="single"/>
          <w:lang w:eastAsia="zh-CN"/>
        </w:rPr>
        <w:t xml:space="preserve">                        </w:t>
      </w:r>
    </w:p>
    <w:p w14:paraId="3BA34838">
      <w:pPr>
        <w:pStyle w:val="13"/>
        <w:keepNext w:val="0"/>
        <w:keepLines w:val="0"/>
        <w:pageBreakBefore w:val="0"/>
        <w:widowControl/>
        <w:kinsoku/>
        <w:wordWrap/>
        <w:overflowPunct/>
        <w:topLinePunct w:val="0"/>
        <w:bidi w:val="0"/>
        <w:snapToGrid w:val="0"/>
        <w:spacing w:after="0" w:line="360" w:lineRule="auto"/>
        <w:ind w:right="0" w:firstLineChars="200"/>
        <w:rPr>
          <w:rFonts w:ascii="仿宋" w:hAnsi="仿宋" w:eastAsia="仿宋" w:cs="仿宋"/>
          <w:b/>
          <w:bCs/>
          <w:szCs w:val="24"/>
          <w:lang w:eastAsia="zh-CN"/>
        </w:rPr>
      </w:pPr>
      <w:r>
        <w:rPr>
          <w:rFonts w:hint="eastAsia" w:ascii="仿宋" w:hAnsi="仿宋" w:eastAsia="仿宋" w:cs="仿宋"/>
          <w:lang w:eastAsia="zh-CN"/>
        </w:rPr>
        <w:t>七、</w:t>
      </w:r>
      <w:r>
        <w:rPr>
          <w:rFonts w:hint="eastAsia" w:ascii="仿宋" w:hAnsi="仿宋" w:eastAsia="仿宋" w:cs="仿宋"/>
          <w:b/>
          <w:bCs/>
          <w:szCs w:val="24"/>
          <w:lang w:eastAsia="zh-CN"/>
        </w:rPr>
        <w:t>乙方责任</w:t>
      </w:r>
    </w:p>
    <w:p w14:paraId="52995148">
      <w:pPr>
        <w:pStyle w:val="13"/>
        <w:keepNext w:val="0"/>
        <w:keepLines w:val="0"/>
        <w:pageBreakBefore w:val="0"/>
        <w:widowControl/>
        <w:kinsoku/>
        <w:wordWrap/>
        <w:overflowPunct/>
        <w:topLinePunct w:val="0"/>
        <w:bidi w:val="0"/>
        <w:snapToGrid w:val="0"/>
        <w:spacing w:after="0" w:line="360" w:lineRule="auto"/>
        <w:ind w:right="0" w:firstLineChars="200"/>
        <w:rPr>
          <w:rFonts w:ascii="仿宋" w:hAnsi="仿宋" w:eastAsia="仿宋" w:cs="仿宋"/>
          <w:szCs w:val="24"/>
          <w:lang w:eastAsia="zh-CN"/>
        </w:rPr>
      </w:pPr>
      <w:r>
        <w:rPr>
          <w:rFonts w:hint="eastAsia" w:ascii="仿宋" w:hAnsi="仿宋" w:eastAsia="仿宋" w:cs="仿宋"/>
          <w:szCs w:val="24"/>
          <w:lang w:eastAsia="zh-CN"/>
        </w:rPr>
        <w:t>1、乙方应按本合同规定进行设计工作并提交规划设计成果及相关文件，甲方有权对乙方提交的成果提出修改意见，乙方应负责无偿修改至</w:t>
      </w:r>
      <w:r>
        <w:rPr>
          <w:rFonts w:hint="eastAsia" w:ascii="仿宋" w:hAnsi="仿宋" w:eastAsia="仿宋" w:cs="仿宋"/>
          <w:lang w:eastAsia="zh-CN"/>
        </w:rPr>
        <w:t>通过行政主管部门技术审查为止</w:t>
      </w:r>
      <w:r>
        <w:rPr>
          <w:rFonts w:hint="eastAsia" w:ascii="仿宋" w:hAnsi="仿宋" w:eastAsia="仿宋" w:cs="仿宋"/>
          <w:szCs w:val="24"/>
          <w:lang w:eastAsia="zh-CN"/>
        </w:rPr>
        <w:t>。</w:t>
      </w:r>
    </w:p>
    <w:p w14:paraId="62A33C07">
      <w:pPr>
        <w:keepNext w:val="0"/>
        <w:keepLines w:val="0"/>
        <w:pageBreakBefore w:val="0"/>
        <w:widowControl/>
        <w:tabs>
          <w:tab w:val="left" w:pos="735"/>
        </w:tabs>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2、乙方对规划设计文件出现的遗漏或错误负责修改或补充，至通过行政主管部门技术审查为止</w:t>
      </w:r>
    </w:p>
    <w:p w14:paraId="4BBB68BA">
      <w:pPr>
        <w:keepNext w:val="0"/>
        <w:keepLines w:val="0"/>
        <w:pageBreakBefore w:val="0"/>
        <w:widowControl/>
        <w:kinsoku/>
        <w:wordWrap/>
        <w:overflowPunct/>
        <w:topLinePunct w:val="0"/>
        <w:bidi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3、 乙方应具有信息收集和统计经验；并应严格按照相关保密约定，确保商务信息的机密性及安全性，不得擅自泄露或用于其他用途。</w:t>
      </w:r>
    </w:p>
    <w:p w14:paraId="361B2A76">
      <w:pPr>
        <w:pStyle w:val="13"/>
        <w:keepNext w:val="0"/>
        <w:keepLines w:val="0"/>
        <w:pageBreakBefore w:val="0"/>
        <w:widowControl/>
        <w:tabs>
          <w:tab w:val="left" w:pos="840"/>
        </w:tabs>
        <w:kinsoku/>
        <w:wordWrap/>
        <w:overflowPunct/>
        <w:topLinePunct w:val="0"/>
        <w:bidi w:val="0"/>
        <w:snapToGrid w:val="0"/>
        <w:spacing w:after="0" w:line="360" w:lineRule="auto"/>
        <w:ind w:right="0" w:firstLineChars="200"/>
        <w:rPr>
          <w:rFonts w:ascii="仿宋" w:hAnsi="仿宋" w:eastAsia="仿宋" w:cs="仿宋"/>
          <w:szCs w:val="24"/>
          <w:lang w:eastAsia="zh-CN"/>
        </w:rPr>
      </w:pPr>
      <w:r>
        <w:rPr>
          <w:rFonts w:hint="eastAsia" w:ascii="仿宋" w:hAnsi="仿宋" w:eastAsia="仿宋" w:cs="仿宋"/>
          <w:szCs w:val="24"/>
          <w:lang w:eastAsia="zh-CN"/>
        </w:rPr>
        <w:t>4、乙方指定</w:t>
      </w:r>
      <w:r>
        <w:rPr>
          <w:rFonts w:hint="eastAsia" w:ascii="仿宋" w:hAnsi="仿宋" w:eastAsia="仿宋" w:cs="仿宋"/>
          <w:szCs w:val="24"/>
          <w:u w:val="none"/>
          <w:lang w:eastAsia="zh-CN"/>
        </w:rPr>
        <w:t>人员配置为</w:t>
      </w:r>
      <w:r>
        <w:rPr>
          <w:rFonts w:hint="eastAsia" w:ascii="仿宋" w:hAnsi="仿宋" w:eastAsia="仿宋" w:cs="仿宋"/>
          <w:szCs w:val="24"/>
          <w:u w:val="single"/>
          <w:lang w:eastAsia="zh-CN"/>
        </w:rPr>
        <w:t xml:space="preserve">                                          </w:t>
      </w:r>
      <w:r>
        <w:rPr>
          <w:rFonts w:hint="eastAsia" w:ascii="仿宋" w:hAnsi="仿宋" w:eastAsia="仿宋" w:cs="仿宋"/>
          <w:szCs w:val="24"/>
          <w:lang w:eastAsia="zh-CN"/>
        </w:rPr>
        <w:t>，全面负责本项目规划设计各项事宜。</w:t>
      </w:r>
    </w:p>
    <w:p w14:paraId="5C909B2F">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电话：</w:t>
      </w:r>
      <w:r>
        <w:rPr>
          <w:rFonts w:hint="eastAsia" w:ascii="仿宋" w:hAnsi="仿宋" w:eastAsia="仿宋" w:cs="仿宋"/>
          <w:sz w:val="24"/>
          <w:u w:val="single"/>
          <w:lang w:eastAsia="zh-CN"/>
        </w:rPr>
        <w:t xml:space="preserve">         </w:t>
      </w:r>
      <w:r>
        <w:rPr>
          <w:rFonts w:hint="eastAsia" w:ascii="仿宋" w:hAnsi="仿宋" w:eastAsia="仿宋" w:cs="仿宋"/>
          <w:sz w:val="24"/>
          <w:lang w:eastAsia="zh-CN"/>
        </w:rPr>
        <w:t>电邮：</w:t>
      </w:r>
      <w:r>
        <w:rPr>
          <w:rFonts w:hint="eastAsia" w:ascii="仿宋" w:hAnsi="仿宋" w:eastAsia="仿宋" w:cs="仿宋"/>
          <w:sz w:val="24"/>
          <w:u w:val="single"/>
          <w:lang w:eastAsia="zh-CN"/>
        </w:rPr>
        <w:t xml:space="preserve">                        </w:t>
      </w:r>
    </w:p>
    <w:p w14:paraId="0042EDB0">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八、违约责任</w:t>
      </w:r>
    </w:p>
    <w:p w14:paraId="2A94259E">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1、在合同履行期间，甲方要求终止或解除合同，乙方未开始工作的，退还甲方已付的合同费用；已开始工作的，甲方应全部支付乙方已进行的该阶段工作费用。</w:t>
      </w:r>
    </w:p>
    <w:p w14:paraId="2957F336">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2、甲方变更委托项目、规模、条件，或因提交的资料错误，或所提资料作重大修改，或因相关部门要求而作重大修改，工期顺延。</w:t>
      </w:r>
    </w:p>
    <w:p w14:paraId="32EEBDA8">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3、因乙方责任造成工作重大返工或重作的，乙方不得另行收费。</w:t>
      </w:r>
    </w:p>
    <w:p w14:paraId="7E9925AC">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4、合同生效后，非因甲方原因且无任何其他合理理由乙方要求终止或解除合同的，乙方应退回所有已收款项。</w:t>
      </w:r>
    </w:p>
    <w:p w14:paraId="4D5DB954">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九、合同组成</w:t>
      </w:r>
    </w:p>
    <w:p w14:paraId="75C81DD0">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1、成交通知书</w:t>
      </w:r>
    </w:p>
    <w:p w14:paraId="456043CB">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2、合同文件</w:t>
      </w:r>
    </w:p>
    <w:p w14:paraId="477F1B80">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3、国家相关规范及标准</w:t>
      </w:r>
    </w:p>
    <w:p w14:paraId="1C0F954D">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4、竞争性磋商文件</w:t>
      </w:r>
    </w:p>
    <w:p w14:paraId="6B58896A">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5、成交供应商的响应文件</w:t>
      </w:r>
    </w:p>
    <w:p w14:paraId="290AD8A3">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十、解决争议的方法</w:t>
      </w:r>
    </w:p>
    <w:p w14:paraId="54B5006E">
      <w:pPr>
        <w:keepNext w:val="0"/>
        <w:keepLines w:val="0"/>
        <w:pageBreakBefore w:val="0"/>
        <w:widowControl/>
        <w:kinsoku/>
        <w:wordWrap/>
        <w:overflowPunct/>
        <w:topLinePunct w:val="0"/>
        <w:autoSpaceDE w:val="0"/>
        <w:autoSpaceDN w:val="0"/>
        <w:bidi w:val="0"/>
        <w:snapToGrid w:val="0"/>
        <w:spacing w:after="0" w:line="360" w:lineRule="auto"/>
        <w:ind w:right="0" w:firstLine="480" w:firstLineChars="200"/>
        <w:textAlignment w:val="bottom"/>
        <w:rPr>
          <w:rFonts w:ascii="仿宋" w:hAnsi="仿宋" w:eastAsia="仿宋" w:cs="仿宋"/>
          <w:sz w:val="24"/>
          <w:lang w:eastAsia="zh-CN"/>
        </w:rPr>
      </w:pPr>
      <w:r>
        <w:rPr>
          <w:rFonts w:hint="eastAsia" w:ascii="仿宋" w:hAnsi="仿宋" w:eastAsia="仿宋" w:cs="仿宋"/>
          <w:sz w:val="24"/>
          <w:lang w:eastAsia="zh-CN"/>
        </w:rPr>
        <w:t>凡因本合同引起的或与本合同有关的争议，双方应友好协商解决。协商不成时，双方均同意采用以下第（1）种争议解决方式：</w:t>
      </w:r>
    </w:p>
    <w:p w14:paraId="2BD81EED">
      <w:pPr>
        <w:keepNext w:val="0"/>
        <w:keepLines w:val="0"/>
        <w:pageBreakBefore w:val="0"/>
        <w:widowControl/>
        <w:kinsoku/>
        <w:wordWrap/>
        <w:overflowPunct/>
        <w:topLinePunct w:val="0"/>
        <w:autoSpaceDE w:val="0"/>
        <w:autoSpaceDN w:val="0"/>
        <w:bidi w:val="0"/>
        <w:snapToGrid w:val="0"/>
        <w:spacing w:after="0" w:line="360" w:lineRule="auto"/>
        <w:ind w:right="0" w:firstLine="480" w:firstLineChars="200"/>
        <w:textAlignment w:val="bottom"/>
        <w:rPr>
          <w:rFonts w:ascii="仿宋" w:hAnsi="仿宋" w:eastAsia="仿宋" w:cs="仿宋"/>
          <w:sz w:val="24"/>
          <w:lang w:eastAsia="zh-CN"/>
        </w:rPr>
      </w:pPr>
      <w:r>
        <w:rPr>
          <w:rFonts w:hint="eastAsia" w:ascii="仿宋" w:hAnsi="仿宋" w:eastAsia="仿宋" w:cs="仿宋"/>
          <w:sz w:val="24"/>
          <w:lang w:eastAsia="zh-CN"/>
        </w:rPr>
        <w:t>1、甲、乙双方均同意向（甲方所在地人民法院）提起诉讼。</w:t>
      </w:r>
    </w:p>
    <w:p w14:paraId="2C25674A">
      <w:pPr>
        <w:keepNext w:val="0"/>
        <w:keepLines w:val="0"/>
        <w:pageBreakBefore w:val="0"/>
        <w:widowControl/>
        <w:kinsoku/>
        <w:wordWrap/>
        <w:overflowPunct/>
        <w:topLinePunct w:val="0"/>
        <w:autoSpaceDE w:val="0"/>
        <w:autoSpaceDN w:val="0"/>
        <w:bidi w:val="0"/>
        <w:snapToGrid w:val="0"/>
        <w:spacing w:after="0" w:line="360" w:lineRule="auto"/>
        <w:ind w:right="0" w:firstLine="480" w:firstLineChars="200"/>
        <w:textAlignment w:val="bottom"/>
        <w:rPr>
          <w:rFonts w:ascii="仿宋" w:hAnsi="仿宋" w:eastAsia="仿宋" w:cs="仿宋"/>
          <w:sz w:val="24"/>
          <w:lang w:eastAsia="zh-CN"/>
        </w:rPr>
      </w:pPr>
      <w:r>
        <w:rPr>
          <w:rFonts w:hint="eastAsia" w:ascii="仿宋" w:hAnsi="仿宋" w:eastAsia="仿宋" w:cs="仿宋"/>
          <w:sz w:val="24"/>
          <w:lang w:eastAsia="zh-CN"/>
        </w:rPr>
        <w:t>2、甲、乙双方均同意向（仲裁委员会）提起仲裁。</w:t>
      </w:r>
    </w:p>
    <w:p w14:paraId="55AFF2C9">
      <w:pPr>
        <w:keepNext w:val="0"/>
        <w:keepLines w:val="0"/>
        <w:pageBreakBefore w:val="0"/>
        <w:widowControl/>
        <w:kinsoku/>
        <w:wordWrap/>
        <w:overflowPunct/>
        <w:topLinePunct w:val="0"/>
        <w:bidi w:val="0"/>
        <w:adjustRightInd w:val="0"/>
        <w:snapToGrid w:val="0"/>
        <w:spacing w:after="0" w:line="360" w:lineRule="auto"/>
        <w:ind w:right="0" w:firstLine="480" w:firstLineChars="200"/>
        <w:rPr>
          <w:rFonts w:ascii="仿宋" w:hAnsi="仿宋" w:eastAsia="仿宋" w:cs="仿宋"/>
          <w:sz w:val="24"/>
          <w:lang w:eastAsia="zh-CN"/>
        </w:rPr>
      </w:pPr>
      <w:r>
        <w:rPr>
          <w:rFonts w:hint="eastAsia" w:ascii="仿宋" w:hAnsi="仿宋" w:eastAsia="仿宋" w:cs="仿宋"/>
          <w:sz w:val="24"/>
          <w:lang w:eastAsia="zh-CN"/>
        </w:rPr>
        <w:t>十一、合同生效及其它</w:t>
      </w:r>
    </w:p>
    <w:p w14:paraId="76AC1F2F">
      <w:pPr>
        <w:keepNext w:val="0"/>
        <w:keepLines w:val="0"/>
        <w:pageBreakBefore w:val="0"/>
        <w:widowControl/>
        <w:kinsoku/>
        <w:wordWrap/>
        <w:overflowPunct/>
        <w:topLinePunct w:val="0"/>
        <w:autoSpaceDE w:val="0"/>
        <w:autoSpaceDN w:val="0"/>
        <w:bidi w:val="0"/>
        <w:snapToGrid w:val="0"/>
        <w:spacing w:after="0" w:line="360" w:lineRule="auto"/>
        <w:ind w:right="0" w:firstLine="480" w:firstLineChars="200"/>
        <w:textAlignment w:val="bottom"/>
        <w:rPr>
          <w:rFonts w:ascii="仿宋" w:hAnsi="仿宋" w:eastAsia="仿宋" w:cs="仿宋"/>
          <w:sz w:val="24"/>
          <w:lang w:eastAsia="zh-CN"/>
        </w:rPr>
      </w:pPr>
      <w:r>
        <w:rPr>
          <w:rFonts w:hint="eastAsia" w:ascii="仿宋" w:hAnsi="仿宋" w:eastAsia="仿宋" w:cs="仿宋"/>
          <w:sz w:val="24"/>
          <w:lang w:eastAsia="zh-CN"/>
        </w:rPr>
        <w:t>1、合同未尽事宜、由甲、乙双方协商，作为合同补充，与原合同具有同等法律效力。</w:t>
      </w:r>
    </w:p>
    <w:p w14:paraId="3AD838C6">
      <w:pPr>
        <w:keepNext w:val="0"/>
        <w:keepLines w:val="0"/>
        <w:pageBreakBefore w:val="0"/>
        <w:widowControl/>
        <w:kinsoku/>
        <w:wordWrap/>
        <w:overflowPunct/>
        <w:topLinePunct w:val="0"/>
        <w:autoSpaceDE w:val="0"/>
        <w:autoSpaceDN w:val="0"/>
        <w:bidi w:val="0"/>
        <w:snapToGrid w:val="0"/>
        <w:spacing w:after="0" w:line="360" w:lineRule="auto"/>
        <w:ind w:right="0" w:firstLine="480" w:firstLineChars="200"/>
        <w:textAlignment w:val="bottom"/>
        <w:rPr>
          <w:rFonts w:ascii="仿宋" w:hAnsi="仿宋" w:eastAsia="仿宋" w:cs="仿宋"/>
          <w:sz w:val="24"/>
          <w:lang w:eastAsia="zh-CN"/>
        </w:rPr>
      </w:pPr>
      <w:r>
        <w:rPr>
          <w:rFonts w:hint="eastAsia" w:ascii="仿宋" w:hAnsi="仿宋" w:eastAsia="仿宋" w:cs="仿宋"/>
          <w:sz w:val="24"/>
          <w:lang w:eastAsia="zh-CN"/>
        </w:rPr>
        <w:t>2、政府采购合同履行中，采购人需追加与合同标的相同的货物、工程或者服务的，在不改变合同其他条款的前提下，可以与供应商协商签订补充合同，但所有补充合同的采购金额不得超过原合同采购金额的百分之十。</w:t>
      </w:r>
    </w:p>
    <w:p w14:paraId="04BAC94A">
      <w:pPr>
        <w:keepNext w:val="0"/>
        <w:keepLines w:val="0"/>
        <w:pageBreakBefore w:val="0"/>
        <w:widowControl/>
        <w:tabs>
          <w:tab w:val="left" w:pos="8391"/>
        </w:tabs>
        <w:kinsoku/>
        <w:wordWrap/>
        <w:overflowPunct/>
        <w:topLinePunct w:val="0"/>
        <w:autoSpaceDE w:val="0"/>
        <w:autoSpaceDN w:val="0"/>
        <w:bidi w:val="0"/>
        <w:snapToGrid w:val="0"/>
        <w:spacing w:after="0" w:line="360" w:lineRule="auto"/>
        <w:ind w:right="0" w:firstLine="480" w:firstLineChars="200"/>
        <w:textAlignment w:val="bottom"/>
        <w:rPr>
          <w:rFonts w:ascii="仿宋" w:hAnsi="仿宋" w:eastAsia="仿宋" w:cs="仿宋"/>
          <w:sz w:val="24"/>
          <w:lang w:eastAsia="zh-CN"/>
        </w:rPr>
      </w:pPr>
      <w:r>
        <w:rPr>
          <w:rFonts w:hint="eastAsia" w:ascii="仿宋" w:hAnsi="仿宋" w:eastAsia="仿宋" w:cs="仿宋"/>
          <w:sz w:val="24"/>
          <w:lang w:eastAsia="zh-CN"/>
        </w:rPr>
        <w:t>3、 本合同正本一式</w:t>
      </w:r>
      <w:r>
        <w:rPr>
          <w:rFonts w:hint="eastAsia" w:ascii="仿宋" w:hAnsi="仿宋" w:eastAsia="仿宋" w:cs="仿宋"/>
          <w:sz w:val="24"/>
          <w:u w:val="single"/>
          <w:lang w:eastAsia="zh-CN"/>
        </w:rPr>
        <w:t xml:space="preserve">  </w:t>
      </w:r>
      <w:r>
        <w:rPr>
          <w:rFonts w:hint="eastAsia" w:ascii="仿宋" w:hAnsi="仿宋" w:eastAsia="仿宋" w:cs="仿宋"/>
          <w:sz w:val="24"/>
          <w:lang w:eastAsia="zh-CN"/>
        </w:rPr>
        <w:t>份，甲方、乙方双方分别执</w:t>
      </w:r>
      <w:r>
        <w:rPr>
          <w:rFonts w:hint="eastAsia" w:ascii="仿宋" w:hAnsi="仿宋" w:eastAsia="仿宋" w:cs="仿宋"/>
          <w:sz w:val="24"/>
          <w:u w:val="single"/>
          <w:lang w:eastAsia="zh-CN"/>
        </w:rPr>
        <w:t xml:space="preserve">  </w:t>
      </w:r>
      <w:r>
        <w:rPr>
          <w:rFonts w:hint="eastAsia" w:ascii="仿宋" w:hAnsi="仿宋" w:eastAsia="仿宋" w:cs="仿宋"/>
          <w:sz w:val="24"/>
          <w:lang w:eastAsia="zh-CN"/>
        </w:rPr>
        <w:t>份，</w:t>
      </w:r>
      <w:r>
        <w:rPr>
          <w:rFonts w:hint="eastAsia" w:ascii="仿宋" w:hAnsi="仿宋" w:eastAsia="仿宋" w:cs="仿宋"/>
          <w:sz w:val="24"/>
          <w:u w:val="single"/>
          <w:lang w:eastAsia="zh-CN"/>
        </w:rPr>
        <w:t xml:space="preserve">       </w:t>
      </w:r>
      <w:r>
        <w:rPr>
          <w:rFonts w:hint="eastAsia" w:ascii="仿宋" w:hAnsi="仿宋" w:eastAsia="仿宋" w:cs="仿宋"/>
          <w:sz w:val="24"/>
          <w:lang w:eastAsia="zh-CN"/>
        </w:rPr>
        <w:t>备案</w:t>
      </w:r>
      <w:r>
        <w:rPr>
          <w:rFonts w:hint="eastAsia" w:ascii="仿宋" w:hAnsi="仿宋" w:eastAsia="仿宋" w:cs="仿宋"/>
          <w:sz w:val="24"/>
          <w:u w:val="single"/>
          <w:lang w:eastAsia="zh-CN"/>
        </w:rPr>
        <w:t xml:space="preserve">  </w:t>
      </w:r>
      <w:r>
        <w:rPr>
          <w:rFonts w:hint="eastAsia" w:ascii="仿宋" w:hAnsi="仿宋" w:eastAsia="仿宋" w:cs="仿宋"/>
          <w:sz w:val="24"/>
          <w:lang w:eastAsia="zh-CN"/>
        </w:rPr>
        <w:t>份。</w:t>
      </w:r>
    </w:p>
    <w:p w14:paraId="089D2B76">
      <w:pPr>
        <w:keepNext w:val="0"/>
        <w:keepLines w:val="0"/>
        <w:pageBreakBefore w:val="0"/>
        <w:widowControl/>
        <w:tabs>
          <w:tab w:val="left" w:pos="8391"/>
        </w:tabs>
        <w:kinsoku/>
        <w:wordWrap/>
        <w:overflowPunct/>
        <w:topLinePunct w:val="0"/>
        <w:autoSpaceDE w:val="0"/>
        <w:autoSpaceDN w:val="0"/>
        <w:bidi w:val="0"/>
        <w:snapToGrid w:val="0"/>
        <w:spacing w:after="0" w:line="360" w:lineRule="auto"/>
        <w:ind w:right="0" w:firstLine="480" w:firstLineChars="200"/>
        <w:textAlignment w:val="bottom"/>
        <w:rPr>
          <w:rFonts w:ascii="仿宋" w:hAnsi="仿宋" w:eastAsia="仿宋" w:cs="仿宋"/>
          <w:sz w:val="24"/>
          <w:lang w:eastAsia="zh-CN"/>
        </w:rPr>
      </w:pPr>
      <w:r>
        <w:rPr>
          <w:rFonts w:hint="eastAsia" w:ascii="仿宋" w:hAnsi="仿宋" w:eastAsia="仿宋" w:cs="仿宋"/>
          <w:sz w:val="24"/>
          <w:lang w:eastAsia="zh-CN"/>
        </w:rPr>
        <w:t>4、合同经甲乙双方盖章、签字后生效，合同签订地点为</w:t>
      </w:r>
      <w:r>
        <w:rPr>
          <w:rFonts w:hint="eastAsia" w:ascii="仿宋" w:hAnsi="仿宋" w:eastAsia="仿宋" w:cs="仿宋"/>
          <w:sz w:val="24"/>
          <w:u w:val="single"/>
          <w:lang w:eastAsia="zh-CN"/>
        </w:rPr>
        <w:t xml:space="preserve">   </w:t>
      </w:r>
      <w:r>
        <w:rPr>
          <w:rFonts w:hint="eastAsia" w:ascii="仿宋" w:hAnsi="仿宋" w:eastAsia="仿宋" w:cs="仿宋"/>
          <w:sz w:val="24"/>
          <w:lang w:eastAsia="zh-CN"/>
        </w:rPr>
        <w:t>。</w:t>
      </w:r>
    </w:p>
    <w:p w14:paraId="0EB8E6F3">
      <w:pPr>
        <w:keepNext w:val="0"/>
        <w:keepLines w:val="0"/>
        <w:pageBreakBefore w:val="0"/>
        <w:widowControl/>
        <w:tabs>
          <w:tab w:val="left" w:pos="8391"/>
        </w:tabs>
        <w:kinsoku/>
        <w:wordWrap/>
        <w:overflowPunct/>
        <w:topLinePunct w:val="0"/>
        <w:autoSpaceDE w:val="0"/>
        <w:autoSpaceDN w:val="0"/>
        <w:bidi w:val="0"/>
        <w:snapToGrid w:val="0"/>
        <w:spacing w:after="0" w:line="360" w:lineRule="auto"/>
        <w:ind w:right="0" w:firstLine="480" w:firstLineChars="200"/>
        <w:textAlignment w:val="bottom"/>
        <w:rPr>
          <w:rFonts w:ascii="仿宋" w:hAnsi="仿宋" w:eastAsia="仿宋" w:cs="仿宋"/>
          <w:sz w:val="24"/>
        </w:rPr>
      </w:pPr>
      <w:r>
        <w:rPr>
          <w:rFonts w:hint="eastAsia" w:ascii="仿宋" w:hAnsi="仿宋" w:eastAsia="仿宋" w:cs="仿宋"/>
          <w:sz w:val="24"/>
        </w:rPr>
        <w:t>5、生效时间：</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7122967">
      <w:pPr>
        <w:keepNext w:val="0"/>
        <w:keepLines w:val="0"/>
        <w:pageBreakBefore w:val="0"/>
        <w:widowControl/>
        <w:tabs>
          <w:tab w:val="left" w:pos="8391"/>
        </w:tabs>
        <w:kinsoku/>
        <w:wordWrap/>
        <w:overflowPunct/>
        <w:topLinePunct w:val="0"/>
        <w:autoSpaceDE w:val="0"/>
        <w:autoSpaceDN w:val="0"/>
        <w:bidi w:val="0"/>
        <w:snapToGrid w:val="0"/>
        <w:spacing w:after="0" w:line="360" w:lineRule="auto"/>
        <w:ind w:right="0" w:firstLine="840" w:firstLineChars="350"/>
        <w:textAlignment w:val="bottom"/>
        <w:rPr>
          <w:rFonts w:ascii="仿宋" w:hAnsi="仿宋" w:eastAsia="仿宋" w:cs="仿宋"/>
          <w:sz w:val="24"/>
        </w:rPr>
      </w:pPr>
    </w:p>
    <w:tbl>
      <w:tblPr>
        <w:tblStyle w:val="6"/>
        <w:tblW w:w="0" w:type="auto"/>
        <w:jc w:val="center"/>
        <w:tblLayout w:type="fixed"/>
        <w:tblCellMar>
          <w:top w:w="0" w:type="dxa"/>
          <w:left w:w="108" w:type="dxa"/>
          <w:bottom w:w="0" w:type="dxa"/>
          <w:right w:w="108" w:type="dxa"/>
        </w:tblCellMar>
      </w:tblPr>
      <w:tblGrid>
        <w:gridCol w:w="4643"/>
        <w:gridCol w:w="4643"/>
      </w:tblGrid>
      <w:tr w14:paraId="40F25A8E">
        <w:tblPrEx>
          <w:tblCellMar>
            <w:top w:w="0" w:type="dxa"/>
            <w:left w:w="108" w:type="dxa"/>
            <w:bottom w:w="0" w:type="dxa"/>
            <w:right w:w="108" w:type="dxa"/>
          </w:tblCellMar>
        </w:tblPrEx>
        <w:trPr>
          <w:jc w:val="center"/>
        </w:trPr>
        <w:tc>
          <w:tcPr>
            <w:tcW w:w="4643" w:type="dxa"/>
          </w:tcPr>
          <w:p w14:paraId="5EF20054">
            <w:pPr>
              <w:keepNext w:val="0"/>
              <w:keepLines w:val="0"/>
              <w:pageBreakBefore w:val="0"/>
              <w:widowControl/>
              <w:kinsoku/>
              <w:wordWrap/>
              <w:overflowPunct/>
              <w:topLinePunct w:val="0"/>
              <w:autoSpaceDE w:val="0"/>
              <w:autoSpaceDN w:val="0"/>
              <w:bidi w:val="0"/>
              <w:snapToGrid w:val="0"/>
              <w:spacing w:after="0" w:line="360" w:lineRule="auto"/>
              <w:ind w:right="0"/>
              <w:textAlignment w:val="bottom"/>
              <w:rPr>
                <w:rFonts w:ascii="仿宋" w:hAnsi="仿宋" w:eastAsia="仿宋" w:cs="仿宋"/>
                <w:sz w:val="24"/>
                <w:lang w:eastAsia="zh-CN"/>
              </w:rPr>
            </w:pPr>
            <w:r>
              <w:rPr>
                <w:rFonts w:hint="eastAsia" w:ascii="仿宋" w:hAnsi="仿宋" w:eastAsia="仿宋" w:cs="仿宋"/>
                <w:sz w:val="24"/>
                <w:lang w:eastAsia="zh-CN"/>
              </w:rPr>
              <w:t>甲方名称</w:t>
            </w:r>
            <w:r>
              <w:rPr>
                <w:rFonts w:hint="eastAsia" w:ascii="仿宋" w:hAnsi="仿宋" w:eastAsia="仿宋" w:cs="仿宋"/>
                <w:spacing w:val="-20"/>
                <w:sz w:val="24"/>
                <w:lang w:eastAsia="zh-CN"/>
              </w:rPr>
              <w:t>（盖章）</w:t>
            </w:r>
            <w:r>
              <w:rPr>
                <w:rFonts w:hint="eastAsia" w:ascii="仿宋" w:hAnsi="仿宋" w:eastAsia="仿宋" w:cs="仿宋"/>
                <w:sz w:val="24"/>
                <w:lang w:eastAsia="zh-CN"/>
              </w:rPr>
              <w:t>：</w:t>
            </w:r>
          </w:p>
          <w:p w14:paraId="7C5C1582">
            <w:pPr>
              <w:keepNext w:val="0"/>
              <w:keepLines w:val="0"/>
              <w:pageBreakBefore w:val="0"/>
              <w:widowControl/>
              <w:kinsoku/>
              <w:wordWrap/>
              <w:overflowPunct/>
              <w:topLinePunct w:val="0"/>
              <w:autoSpaceDE w:val="0"/>
              <w:autoSpaceDN w:val="0"/>
              <w:bidi w:val="0"/>
              <w:snapToGrid w:val="0"/>
              <w:spacing w:after="0" w:line="360" w:lineRule="auto"/>
              <w:ind w:right="0"/>
              <w:textAlignment w:val="bottom"/>
              <w:rPr>
                <w:rFonts w:ascii="仿宋" w:hAnsi="仿宋" w:eastAsia="仿宋" w:cs="仿宋"/>
                <w:sz w:val="24"/>
                <w:lang w:eastAsia="zh-CN"/>
              </w:rPr>
            </w:pPr>
            <w:r>
              <w:rPr>
                <w:rFonts w:hint="eastAsia" w:ascii="仿宋" w:hAnsi="仿宋" w:eastAsia="仿宋" w:cs="仿宋"/>
                <w:sz w:val="24"/>
                <w:lang w:eastAsia="zh-CN"/>
              </w:rPr>
              <w:t>地址：</w:t>
            </w:r>
          </w:p>
          <w:p w14:paraId="5A4D509D">
            <w:pPr>
              <w:keepNext w:val="0"/>
              <w:keepLines w:val="0"/>
              <w:pageBreakBefore w:val="0"/>
              <w:widowControl/>
              <w:kinsoku/>
              <w:wordWrap/>
              <w:overflowPunct/>
              <w:topLinePunct w:val="0"/>
              <w:autoSpaceDE w:val="0"/>
              <w:autoSpaceDN w:val="0"/>
              <w:bidi w:val="0"/>
              <w:snapToGrid w:val="0"/>
              <w:spacing w:after="0" w:line="360" w:lineRule="auto"/>
              <w:ind w:right="0"/>
              <w:textAlignment w:val="bottom"/>
              <w:rPr>
                <w:rFonts w:ascii="仿宋" w:hAnsi="仿宋" w:eastAsia="仿宋" w:cs="仿宋"/>
                <w:sz w:val="24"/>
                <w:lang w:eastAsia="zh-CN"/>
              </w:rPr>
            </w:pPr>
            <w:r>
              <w:rPr>
                <w:rFonts w:hint="eastAsia" w:ascii="仿宋" w:hAnsi="仿宋" w:eastAsia="仿宋" w:cs="仿宋"/>
                <w:sz w:val="24"/>
                <w:lang w:eastAsia="zh-CN"/>
              </w:rPr>
              <w:t>代表人（签字）：</w:t>
            </w:r>
          </w:p>
          <w:p w14:paraId="3813E562">
            <w:pPr>
              <w:keepNext w:val="0"/>
              <w:keepLines w:val="0"/>
              <w:pageBreakBefore w:val="0"/>
              <w:widowControl/>
              <w:kinsoku/>
              <w:wordWrap/>
              <w:overflowPunct/>
              <w:topLinePunct w:val="0"/>
              <w:autoSpaceDE w:val="0"/>
              <w:autoSpaceDN w:val="0"/>
              <w:bidi w:val="0"/>
              <w:snapToGrid w:val="0"/>
              <w:spacing w:after="0" w:line="360" w:lineRule="auto"/>
              <w:ind w:right="0"/>
              <w:textAlignment w:val="bottom"/>
              <w:rPr>
                <w:rFonts w:ascii="仿宋" w:hAnsi="仿宋" w:eastAsia="仿宋" w:cs="仿宋"/>
                <w:sz w:val="24"/>
                <w:lang w:eastAsia="zh-CN"/>
              </w:rPr>
            </w:pPr>
            <w:r>
              <w:rPr>
                <w:rFonts w:hint="eastAsia" w:ascii="仿宋" w:hAnsi="仿宋" w:eastAsia="仿宋" w:cs="仿宋"/>
                <w:sz w:val="24"/>
                <w:lang w:eastAsia="zh-CN"/>
              </w:rPr>
              <w:t>电话：</w:t>
            </w:r>
          </w:p>
          <w:p w14:paraId="1B7EFE2C">
            <w:pPr>
              <w:keepNext w:val="0"/>
              <w:keepLines w:val="0"/>
              <w:pageBreakBefore w:val="0"/>
              <w:widowControl/>
              <w:kinsoku/>
              <w:wordWrap/>
              <w:overflowPunct/>
              <w:topLinePunct w:val="0"/>
              <w:autoSpaceDE w:val="0"/>
              <w:autoSpaceDN w:val="0"/>
              <w:bidi w:val="0"/>
              <w:snapToGrid w:val="0"/>
              <w:spacing w:after="0" w:line="360" w:lineRule="auto"/>
              <w:ind w:right="0"/>
              <w:textAlignment w:val="bottom"/>
              <w:rPr>
                <w:rFonts w:ascii="仿宋" w:hAnsi="仿宋" w:eastAsia="仿宋" w:cs="仿宋"/>
                <w:sz w:val="24"/>
              </w:rPr>
            </w:pPr>
            <w:r>
              <w:rPr>
                <w:rFonts w:hint="eastAsia" w:ascii="仿宋" w:hAnsi="仿宋" w:eastAsia="仿宋" w:cs="仿宋"/>
                <w:sz w:val="24"/>
              </w:rPr>
              <w:t>开户银行：</w:t>
            </w:r>
          </w:p>
          <w:p w14:paraId="5172131D">
            <w:pPr>
              <w:keepNext w:val="0"/>
              <w:keepLines w:val="0"/>
              <w:pageBreakBefore w:val="0"/>
              <w:widowControl/>
              <w:kinsoku/>
              <w:wordWrap/>
              <w:overflowPunct/>
              <w:topLinePunct w:val="0"/>
              <w:autoSpaceDE w:val="0"/>
              <w:autoSpaceDN w:val="0"/>
              <w:bidi w:val="0"/>
              <w:snapToGrid w:val="0"/>
              <w:spacing w:after="0" w:line="360" w:lineRule="auto"/>
              <w:ind w:right="0"/>
              <w:textAlignment w:val="bottom"/>
              <w:rPr>
                <w:rFonts w:ascii="仿宋" w:hAnsi="仿宋" w:eastAsia="仿宋" w:cs="仿宋"/>
                <w:sz w:val="24"/>
              </w:rPr>
            </w:pPr>
            <w:r>
              <w:rPr>
                <w:rFonts w:hint="eastAsia" w:ascii="仿宋" w:hAnsi="仿宋" w:eastAsia="仿宋" w:cs="仿宋"/>
                <w:sz w:val="24"/>
              </w:rPr>
              <w:t>账号：</w:t>
            </w:r>
          </w:p>
        </w:tc>
        <w:tc>
          <w:tcPr>
            <w:tcW w:w="4643" w:type="dxa"/>
          </w:tcPr>
          <w:p w14:paraId="07CD3151">
            <w:pPr>
              <w:keepNext w:val="0"/>
              <w:keepLines w:val="0"/>
              <w:pageBreakBefore w:val="0"/>
              <w:widowControl/>
              <w:kinsoku/>
              <w:wordWrap/>
              <w:overflowPunct/>
              <w:topLinePunct w:val="0"/>
              <w:autoSpaceDE w:val="0"/>
              <w:autoSpaceDN w:val="0"/>
              <w:bidi w:val="0"/>
              <w:snapToGrid w:val="0"/>
              <w:spacing w:after="0" w:line="360" w:lineRule="auto"/>
              <w:ind w:right="0"/>
              <w:textAlignment w:val="bottom"/>
              <w:rPr>
                <w:rFonts w:ascii="仿宋" w:hAnsi="仿宋" w:eastAsia="仿宋" w:cs="仿宋"/>
                <w:sz w:val="24"/>
                <w:lang w:eastAsia="zh-CN"/>
              </w:rPr>
            </w:pPr>
            <w:r>
              <w:rPr>
                <w:rFonts w:hint="eastAsia" w:ascii="仿宋" w:hAnsi="仿宋" w:eastAsia="仿宋" w:cs="仿宋"/>
                <w:sz w:val="24"/>
                <w:lang w:eastAsia="zh-CN"/>
              </w:rPr>
              <w:t>乙方名称</w:t>
            </w:r>
            <w:r>
              <w:rPr>
                <w:rFonts w:hint="eastAsia" w:ascii="仿宋" w:hAnsi="仿宋" w:eastAsia="仿宋" w:cs="仿宋"/>
                <w:spacing w:val="-20"/>
                <w:sz w:val="24"/>
                <w:lang w:eastAsia="zh-CN"/>
              </w:rPr>
              <w:t>（盖章）</w:t>
            </w:r>
            <w:r>
              <w:rPr>
                <w:rFonts w:hint="eastAsia" w:ascii="仿宋" w:hAnsi="仿宋" w:eastAsia="仿宋" w:cs="仿宋"/>
                <w:sz w:val="24"/>
                <w:lang w:eastAsia="zh-CN"/>
              </w:rPr>
              <w:t>：</w:t>
            </w:r>
          </w:p>
          <w:p w14:paraId="0A2DA7EA">
            <w:pPr>
              <w:keepNext w:val="0"/>
              <w:keepLines w:val="0"/>
              <w:pageBreakBefore w:val="0"/>
              <w:widowControl/>
              <w:kinsoku/>
              <w:wordWrap/>
              <w:overflowPunct/>
              <w:topLinePunct w:val="0"/>
              <w:autoSpaceDE w:val="0"/>
              <w:autoSpaceDN w:val="0"/>
              <w:bidi w:val="0"/>
              <w:snapToGrid w:val="0"/>
              <w:spacing w:after="0" w:line="360" w:lineRule="auto"/>
              <w:ind w:right="0"/>
              <w:textAlignment w:val="bottom"/>
              <w:rPr>
                <w:rFonts w:ascii="仿宋" w:hAnsi="仿宋" w:eastAsia="仿宋" w:cs="仿宋"/>
                <w:sz w:val="24"/>
                <w:lang w:eastAsia="zh-CN"/>
              </w:rPr>
            </w:pPr>
            <w:r>
              <w:rPr>
                <w:rFonts w:hint="eastAsia" w:ascii="仿宋" w:hAnsi="仿宋" w:eastAsia="仿宋" w:cs="仿宋"/>
                <w:sz w:val="24"/>
                <w:lang w:eastAsia="zh-CN"/>
              </w:rPr>
              <w:t>地址：</w:t>
            </w:r>
          </w:p>
          <w:p w14:paraId="0DA94445">
            <w:pPr>
              <w:keepNext w:val="0"/>
              <w:keepLines w:val="0"/>
              <w:pageBreakBefore w:val="0"/>
              <w:widowControl/>
              <w:kinsoku/>
              <w:wordWrap/>
              <w:overflowPunct/>
              <w:topLinePunct w:val="0"/>
              <w:autoSpaceDE w:val="0"/>
              <w:autoSpaceDN w:val="0"/>
              <w:bidi w:val="0"/>
              <w:snapToGrid w:val="0"/>
              <w:spacing w:after="0" w:line="360" w:lineRule="auto"/>
              <w:ind w:right="0"/>
              <w:textAlignment w:val="bottom"/>
              <w:rPr>
                <w:rFonts w:ascii="仿宋" w:hAnsi="仿宋" w:eastAsia="仿宋" w:cs="仿宋"/>
                <w:sz w:val="24"/>
                <w:lang w:eastAsia="zh-CN"/>
              </w:rPr>
            </w:pPr>
            <w:r>
              <w:rPr>
                <w:rFonts w:hint="eastAsia" w:ascii="仿宋" w:hAnsi="仿宋" w:eastAsia="仿宋" w:cs="仿宋"/>
                <w:sz w:val="24"/>
                <w:lang w:eastAsia="zh-CN"/>
              </w:rPr>
              <w:t>代表人（签字）：</w:t>
            </w:r>
          </w:p>
          <w:p w14:paraId="5C6E4FF5">
            <w:pPr>
              <w:keepNext w:val="0"/>
              <w:keepLines w:val="0"/>
              <w:pageBreakBefore w:val="0"/>
              <w:widowControl/>
              <w:kinsoku/>
              <w:wordWrap/>
              <w:overflowPunct/>
              <w:topLinePunct w:val="0"/>
              <w:autoSpaceDE w:val="0"/>
              <w:autoSpaceDN w:val="0"/>
              <w:bidi w:val="0"/>
              <w:snapToGrid w:val="0"/>
              <w:spacing w:after="0" w:line="360" w:lineRule="auto"/>
              <w:ind w:right="0"/>
              <w:textAlignment w:val="bottom"/>
              <w:rPr>
                <w:rFonts w:ascii="仿宋" w:hAnsi="仿宋" w:eastAsia="仿宋" w:cs="仿宋"/>
                <w:sz w:val="24"/>
                <w:lang w:eastAsia="zh-CN"/>
              </w:rPr>
            </w:pPr>
            <w:r>
              <w:rPr>
                <w:rFonts w:hint="eastAsia" w:ascii="仿宋" w:hAnsi="仿宋" w:eastAsia="仿宋" w:cs="仿宋"/>
                <w:sz w:val="24"/>
                <w:lang w:eastAsia="zh-CN"/>
              </w:rPr>
              <w:t>电话：</w:t>
            </w:r>
          </w:p>
          <w:p w14:paraId="361FA09A">
            <w:pPr>
              <w:keepNext w:val="0"/>
              <w:keepLines w:val="0"/>
              <w:pageBreakBefore w:val="0"/>
              <w:widowControl/>
              <w:kinsoku/>
              <w:wordWrap/>
              <w:overflowPunct/>
              <w:topLinePunct w:val="0"/>
              <w:autoSpaceDE w:val="0"/>
              <w:autoSpaceDN w:val="0"/>
              <w:bidi w:val="0"/>
              <w:snapToGrid w:val="0"/>
              <w:spacing w:after="0" w:line="360" w:lineRule="auto"/>
              <w:ind w:right="0"/>
              <w:textAlignment w:val="bottom"/>
              <w:rPr>
                <w:rFonts w:ascii="仿宋" w:hAnsi="仿宋" w:eastAsia="仿宋" w:cs="仿宋"/>
                <w:sz w:val="24"/>
              </w:rPr>
            </w:pPr>
            <w:r>
              <w:rPr>
                <w:rFonts w:hint="eastAsia" w:ascii="仿宋" w:hAnsi="仿宋" w:eastAsia="仿宋" w:cs="仿宋"/>
                <w:sz w:val="24"/>
              </w:rPr>
              <w:t>开户银行：</w:t>
            </w:r>
          </w:p>
          <w:p w14:paraId="4D81D4CE">
            <w:pPr>
              <w:keepNext w:val="0"/>
              <w:keepLines w:val="0"/>
              <w:pageBreakBefore w:val="0"/>
              <w:widowControl/>
              <w:kinsoku/>
              <w:wordWrap/>
              <w:overflowPunct/>
              <w:topLinePunct w:val="0"/>
              <w:autoSpaceDE w:val="0"/>
              <w:autoSpaceDN w:val="0"/>
              <w:bidi w:val="0"/>
              <w:snapToGrid w:val="0"/>
              <w:spacing w:after="0" w:line="360" w:lineRule="auto"/>
              <w:ind w:right="0"/>
              <w:textAlignment w:val="bottom"/>
              <w:rPr>
                <w:rFonts w:ascii="仿宋" w:hAnsi="仿宋" w:eastAsia="仿宋" w:cs="仿宋"/>
                <w:sz w:val="24"/>
              </w:rPr>
            </w:pPr>
            <w:r>
              <w:rPr>
                <w:rFonts w:hint="eastAsia" w:ascii="仿宋" w:hAnsi="仿宋" w:eastAsia="仿宋" w:cs="仿宋"/>
                <w:sz w:val="24"/>
              </w:rPr>
              <w:t>账号：</w:t>
            </w:r>
          </w:p>
        </w:tc>
      </w:tr>
    </w:tbl>
    <w:p w14:paraId="3EEA05B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DEE607"/>
    <w:multiLevelType w:val="singleLevel"/>
    <w:tmpl w:val="FCDEE60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7B0BE4"/>
    <w:rsid w:val="03C77E99"/>
    <w:rsid w:val="0561174D"/>
    <w:rsid w:val="09DC6F2A"/>
    <w:rsid w:val="17093264"/>
    <w:rsid w:val="18300B23"/>
    <w:rsid w:val="1D2366AB"/>
    <w:rsid w:val="21C02D6D"/>
    <w:rsid w:val="21CD532C"/>
    <w:rsid w:val="25774AEE"/>
    <w:rsid w:val="265754CC"/>
    <w:rsid w:val="2755784B"/>
    <w:rsid w:val="29B7714B"/>
    <w:rsid w:val="2A09202A"/>
    <w:rsid w:val="2B57116C"/>
    <w:rsid w:val="2D012D2F"/>
    <w:rsid w:val="2DC047AC"/>
    <w:rsid w:val="30BA290D"/>
    <w:rsid w:val="35E02BBA"/>
    <w:rsid w:val="3F7B0BE4"/>
    <w:rsid w:val="3FA639A6"/>
    <w:rsid w:val="40563691"/>
    <w:rsid w:val="432B57DF"/>
    <w:rsid w:val="469B0D50"/>
    <w:rsid w:val="4C334E7A"/>
    <w:rsid w:val="578318F4"/>
    <w:rsid w:val="59B63CDD"/>
    <w:rsid w:val="5AD92379"/>
    <w:rsid w:val="62F04E50"/>
    <w:rsid w:val="688E376F"/>
    <w:rsid w:val="6B9E2823"/>
    <w:rsid w:val="6D2055BE"/>
    <w:rsid w:val="6FA403B2"/>
    <w:rsid w:val="7B165BB8"/>
    <w:rsid w:val="7B3972D8"/>
    <w:rsid w:val="7BB1183B"/>
    <w:rsid w:val="7D311748"/>
    <w:rsid w:val="7F9E2999"/>
    <w:rsid w:val="7FC52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1"/>
    <w:basedOn w:val="1"/>
    <w:next w:val="1"/>
    <w:link w:val="9"/>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3">
    <w:name w:val="heading 2"/>
    <w:basedOn w:val="1"/>
    <w:next w:val="1"/>
    <w:link w:val="10"/>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4">
    <w:name w:val="heading 3"/>
    <w:basedOn w:val="1"/>
    <w:next w:val="1"/>
    <w:link w:val="11"/>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Indent 2"/>
    <w:basedOn w:val="1"/>
    <w:qFormat/>
    <w:uiPriority w:val="0"/>
    <w:pPr>
      <w:ind w:left="555"/>
    </w:pPr>
    <w:rPr>
      <w:sz w:val="28"/>
      <w:szCs w:val="20"/>
    </w:rPr>
  </w:style>
  <w:style w:type="paragraph" w:customStyle="1" w:styleId="8">
    <w:name w:val="正文2"/>
    <w:basedOn w:val="1"/>
    <w:qFormat/>
    <w:uiPriority w:val="0"/>
    <w:pPr>
      <w:ind w:firstLine="562" w:firstLineChars="200"/>
      <w:jc w:val="left"/>
    </w:pPr>
    <w:rPr>
      <w:rFonts w:hint="eastAsia"/>
    </w:rPr>
  </w:style>
  <w:style w:type="character" w:customStyle="1" w:styleId="9">
    <w:name w:val="标题 1 Char"/>
    <w:link w:val="2"/>
    <w:qFormat/>
    <w:uiPriority w:val="0"/>
    <w:rPr>
      <w:rFonts w:ascii="Times New Roman" w:hAnsi="Times New Roman" w:eastAsia="宋体" w:cs="Times New Roman"/>
      <w:b/>
      <w:kern w:val="44"/>
      <w:sz w:val="32"/>
      <w:szCs w:val="21"/>
    </w:rPr>
  </w:style>
  <w:style w:type="character" w:customStyle="1" w:styleId="10">
    <w:name w:val="标题 2 Char"/>
    <w:link w:val="3"/>
    <w:qFormat/>
    <w:uiPriority w:val="9"/>
    <w:rPr>
      <w:rFonts w:ascii="Cambria" w:hAnsi="Cambria" w:eastAsia="宋体" w:cs="Times New Roman"/>
      <w:b/>
      <w:bCs/>
      <w:kern w:val="0"/>
      <w:sz w:val="28"/>
      <w:szCs w:val="32"/>
    </w:rPr>
  </w:style>
  <w:style w:type="character" w:customStyle="1" w:styleId="11">
    <w:name w:val="标题 3 字符"/>
    <w:link w:val="4"/>
    <w:qFormat/>
    <w:uiPriority w:val="0"/>
    <w:rPr>
      <w:rFonts w:ascii="Times New Roman" w:hAnsi="Times New Roman" w:eastAsia="宋体" w:cs="Times New Roman"/>
      <w:b/>
      <w:bCs/>
      <w:sz w:val="32"/>
      <w:szCs w:val="32"/>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正文1"/>
    <w:basedOn w:val="1"/>
    <w:qFormat/>
    <w:uiPriority w:val="0"/>
    <w:pPr>
      <w:autoSpaceDE w:val="0"/>
      <w:autoSpaceDN w:val="0"/>
      <w:adjustRightInd w:val="0"/>
      <w:spacing w:line="288" w:lineRule="auto"/>
      <w:ind w:firstLine="480"/>
      <w:textAlignment w:val="baseline"/>
    </w:pPr>
    <w:rPr>
      <w:rFonts w:ascii="宋体"/>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1404</Words>
  <Characters>1429</Characters>
  <Lines>0</Lines>
  <Paragraphs>0</Paragraphs>
  <TotalTime>0</TotalTime>
  <ScaleCrop>false</ScaleCrop>
  <LinksUpToDate>false</LinksUpToDate>
  <CharactersWithSpaces>1493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2024-12-03T10:23:00Z</dcterms:created>
  <dc:creator>罗永山</dc:creator>
  <cp:lastModifiedBy>Administrator</cp:lastModifiedBy>
  <dcterms:modified xsi:type="dcterms:W3CDTF">2025-10-16T09:50:14Z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66FC0BCAD7394252B43FB19C237F7107_11</vt:lpwstr>
  </property>
  <property fmtid="{D5CDD505-2E9C-101B-9397-08002B2CF9AE}" pid="4" name="KSOTemplateDocerSaveRecord">
    <vt:lpwstr>eyJoZGlkIjoiZDU3NDQxYWM0MTczYjBhMzlmYjdkYmMwMzBhMmYwMWMiLCJ1c2VySWQiOiIyNTQ0OTA1OTQifQ==</vt:lpwstr>
  </property>
</Properties>
</file>