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版本号：ZDZC202510170220251030001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CB3-11-9号宗地地面破碎、文勘清表、垃圾清运项目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ZDZC2025101702</w:t>
      </w:r>
      <w:r>
        <w:br/>
      </w:r>
      <w:r>
        <w:br/>
      </w:r>
      <w:r>
        <w:br/>
      </w:r>
    </w:p>
    <w:p>
      <w:pPr>
        <w:pStyle w:val="null3"/>
        <w:jc w:val="center"/>
        <w:outlineLvl w:val="2"/>
      </w:pPr>
      <w:r>
        <w:rPr>
          <w:rFonts w:ascii="仿宋_GB2312" w:hAnsi="仿宋_GB2312" w:cs="仿宋_GB2312" w:eastAsia="仿宋_GB2312"/>
          <w:sz w:val="28"/>
          <w:b/>
        </w:rPr>
        <w:t>西安浐灞国际港世园会展产业园</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西安浐灞国际港世园会展产业园</w:t>
      </w:r>
      <w:r>
        <w:rPr>
          <w:rFonts w:ascii="仿宋_GB2312" w:hAnsi="仿宋_GB2312" w:cs="仿宋_GB2312" w:eastAsia="仿宋_GB2312"/>
        </w:rPr>
        <w:t>委托，拟对</w:t>
      </w:r>
      <w:r>
        <w:rPr>
          <w:rFonts w:ascii="仿宋_GB2312" w:hAnsi="仿宋_GB2312" w:cs="仿宋_GB2312" w:eastAsia="仿宋_GB2312"/>
        </w:rPr>
        <w:t>CB3-11-9号宗地地面破碎、文勘清表、垃圾清运项目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ZDZC2025101702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CB3-11-9号宗地地面破碎、文勘清表、垃圾清运项目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CB3-11-9号宗地位于世博大道以南、会展路以西、会展三路以北、展兴路东侧，宗地面积约12.36亩。为加快推进园区拟出让地块文勘工作，产业园拟对CB3-11-9号宗地实施水泥地面破碎、文勘清表、垃圾清运，确保文勘工作顺利推进，需进行本次项目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采购包1（CB3-11-9号宗地地面破碎、文勘清表、垃圾清运项目）：属于专门面向中小企业采购。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w:t>
      </w:r>
    </w:p>
    <w:p>
      <w:pPr>
        <w:pStyle w:val="null3"/>
      </w:pPr>
      <w:r>
        <w:rPr>
          <w:rFonts w:ascii="仿宋_GB2312" w:hAnsi="仿宋_GB2312" w:cs="仿宋_GB2312" w:eastAsia="仿宋_GB2312"/>
        </w:rPr>
        <w:t>2、法定代表人授权书及被授权人身份证：法定代表人授权书及被授权人身份证：法定代表人授权书、被授权人身份证及授权代表在本单位的社保缴纳证明（法定代表人直接参与，只须提交其身份证明）。</w:t>
      </w:r>
    </w:p>
    <w:p>
      <w:pPr>
        <w:pStyle w:val="null3"/>
      </w:pPr>
      <w:r>
        <w:rPr>
          <w:rFonts w:ascii="仿宋_GB2312" w:hAnsi="仿宋_GB2312" w:cs="仿宋_GB2312" w:eastAsia="仿宋_GB2312"/>
        </w:rPr>
        <w:t>3、供应商具备履行合同所必需的设备、专业技术：供应商具备履行合同所必需的设备、专业技术及合法处置（运输）建筑垃圾的能力。</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5、财务状况报告（三选一）：提供以下（1）（2）（3）三种形式的资料提供任何一种即可： （1）提供2024年度经审计的财务报告复印件，应满足以下要求： 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（2）提供资信证明原件或复印件，应满足以下要求： 在投标截止日期前6个月内其基本开户银行出具的资信证明。 （3） 财政部门认可的政府采购专业担保机构出具的投标担保函。</w:t>
      </w:r>
    </w:p>
    <w:p>
      <w:pPr>
        <w:pStyle w:val="null3"/>
      </w:pPr>
      <w:r>
        <w:rPr>
          <w:rFonts w:ascii="仿宋_GB2312" w:hAnsi="仿宋_GB2312" w:cs="仿宋_GB2312" w:eastAsia="仿宋_GB2312"/>
        </w:rPr>
        <w:t>6、税收缴纳证明：提供供应商自投标截止日期前6个月以来已缴纳任意时段纳税证明或税务机关开具的完税证明（增值税、营业税、企业所得税至少提供一种）；依法免税的应提供相关文件证明。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7、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信用记录：供应商不得为列入信用中国(www.creditchina.gov.cn)重大税收违法失信主体、在中国执行信息公开网（http://zxgk.court.gov.cn/）未被列入失信被执行人及在中国政府采购网（www.ccgp.gov.cn）未被列入政府采购严重违法失信行为记录名单（此条无需提供，采购代理机构在评标现场查询）。</w:t>
      </w:r>
    </w:p>
    <w:p>
      <w:pPr>
        <w:pStyle w:val="null3"/>
      </w:pPr>
      <w:r>
        <w:rPr>
          <w:rFonts w:ascii="仿宋_GB2312" w:hAnsi="仿宋_GB2312" w:cs="仿宋_GB2312" w:eastAsia="仿宋_GB2312"/>
        </w:rPr>
        <w:t>9、中小企业声明函：本项目专门面向中小企业采购（残疾人福利性单位、监狱企业视同小型、微型企业），供应商需提供《中小企业声明函》（监狱企业的证明文件或《残疾人福利性单位声明函》）。</w:t>
      </w:r>
    </w:p>
    <w:p>
      <w:pPr>
        <w:pStyle w:val="null3"/>
      </w:pPr>
      <w:r>
        <w:rPr>
          <w:rFonts w:ascii="仿宋_GB2312" w:hAnsi="仿宋_GB2312" w:cs="仿宋_GB2312" w:eastAsia="仿宋_GB2312"/>
        </w:rPr>
        <w:t>10、非联合体承诺：本项目不接受联合体投标（提供非联合体承诺书）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西安浐灞国际港世园会展产业园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西安浐灞国际港世园会展产业园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孙胜伟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029-83748676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李工、马咄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18092530165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代理服务费收费标准：1、交费金额参照《招标代理服务收费管理暂行办法》（计价格【2002】1980号）及发改办价格【2003】857号中的规定计取。 2、成交人在取得成交通知书时，向采购代理机构缴付成交服务费。 3、服务费以转账形式交纳，服务费缴纳帐号如下： 开户名称：正大鹏安建设项目管理有限公司 开户银行：陕西秦农农村商业银行股份有限公司新城支行 账 号：2701131601201000028739 行 号：314791001279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西安浐灞国际港世园会展产业园</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西安浐灞国际港世园会展产业园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西安浐灞国际港世园会展产业园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联系人：李工/马咄</w:t>
      </w:r>
    </w:p>
    <w:p>
      <w:pPr>
        <w:pStyle w:val="null3"/>
      </w:pPr>
      <w:r>
        <w:rPr>
          <w:rFonts w:ascii="仿宋_GB2312" w:hAnsi="仿宋_GB2312" w:cs="仿宋_GB2312" w:eastAsia="仿宋_GB2312"/>
        </w:rPr>
        <w:t>联系电话：18092530165</w:t>
      </w:r>
    </w:p>
    <w:p>
      <w:pPr>
        <w:pStyle w:val="null3"/>
      </w:pPr>
      <w:r>
        <w:rPr>
          <w:rFonts w:ascii="仿宋_GB2312" w:hAnsi="仿宋_GB2312" w:cs="仿宋_GB2312" w:eastAsia="仿宋_GB2312"/>
        </w:rPr>
        <w:t>地址：陕西省西安市新城区长乐中路38号金花新都汇C座12层01室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2,430,000.00</w:t>
      </w:r>
    </w:p>
    <w:p>
      <w:pPr>
        <w:pStyle w:val="null3"/>
      </w:pPr>
      <w:r>
        <w:rPr>
          <w:rFonts w:ascii="仿宋_GB2312" w:hAnsi="仿宋_GB2312" w:cs="仿宋_GB2312" w:eastAsia="仿宋_GB2312"/>
        </w:rPr>
        <w:t>采购包最高限价（元）: 2,430,000.00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CB3-11-9号宗地地面破碎、文勘清表、垃圾清运项目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标的名称：CB3-11-9号宗地地面破碎、文勘清表、垃圾清运项目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1、工程</w:t>
            </w:r>
            <w:r>
              <w:rPr>
                <w:rFonts w:ascii="仿宋_GB2312" w:hAnsi="仿宋_GB2312" w:cs="仿宋_GB2312" w:eastAsia="仿宋_GB2312"/>
              </w:rPr>
              <w:t>概况：</w:t>
            </w:r>
          </w:p>
          <w:p>
            <w:pPr>
              <w:pStyle w:val="null3"/>
              <w:ind w:firstLine="400"/>
            </w:pPr>
            <w:r>
              <w:rPr>
                <w:rFonts w:ascii="仿宋_GB2312" w:hAnsi="仿宋_GB2312" w:cs="仿宋_GB2312" w:eastAsia="仿宋_GB2312"/>
              </w:rPr>
              <w:t>CB3-11-9号宗地位于世博大道以南、会展路以西、会展三路以北、展兴路东侧，宗地面积约12.36亩。为加快推进园区拟出让地块文勘工作，产业园拟对CB3-11-9号宗地实施水泥地面破碎、文勘清表、垃圾清运，确保文勘工作顺利推进。</w:t>
            </w:r>
          </w:p>
          <w:p>
            <w:pPr>
              <w:pStyle w:val="null3"/>
            </w:pPr>
            <w:r>
              <w:rPr>
                <w:rFonts w:ascii="仿宋_GB2312" w:hAnsi="仿宋_GB2312" w:cs="仿宋_GB2312" w:eastAsia="仿宋_GB2312"/>
              </w:rPr>
              <w:t>2、工程内容：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对</w:t>
            </w:r>
            <w:r>
              <w:rPr>
                <w:rFonts w:ascii="仿宋_GB2312" w:hAnsi="仿宋_GB2312" w:cs="仿宋_GB2312" w:eastAsia="仿宋_GB2312"/>
              </w:rPr>
              <w:t>CB3-11-9号宗地内厚度30㎝水泥混凝土地面约6730㎡实施破碎，并清运文勘清表垃圾约2.1万m³。</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CB3-11-9号宗地地面破碎、文勘清表、垃圾清运项目须达到文勘发掘实施条件。</w:t>
            </w:r>
          </w:p>
          <w:p>
            <w:pPr>
              <w:pStyle w:val="null3"/>
            </w:pPr>
            <w:r>
              <w:rPr>
                <w:rFonts w:ascii="仿宋_GB2312" w:hAnsi="仿宋_GB2312" w:cs="仿宋_GB2312" w:eastAsia="仿宋_GB2312"/>
              </w:rPr>
              <w:t>3、</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自合同签订之日起</w:t>
            </w:r>
            <w:r>
              <w:rPr>
                <w:rFonts w:ascii="仿宋_GB2312" w:hAnsi="仿宋_GB2312" w:cs="仿宋_GB2312" w:eastAsia="仿宋_GB2312"/>
              </w:rPr>
              <w:t>20日内完成项目</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施工要求</w:t>
            </w:r>
          </w:p>
          <w:p>
            <w:pPr>
              <w:pStyle w:val="null3"/>
            </w:pPr>
            <w:r>
              <w:rPr>
                <w:rFonts w:ascii="仿宋_GB2312" w:hAnsi="仿宋_GB2312" w:cs="仿宋_GB2312" w:eastAsia="仿宋_GB2312"/>
              </w:rPr>
              <w:t>（</w:t>
            </w:r>
            <w:r>
              <w:rPr>
                <w:rFonts w:ascii="仿宋_GB2312" w:hAnsi="仿宋_GB2312" w:cs="仿宋_GB2312" w:eastAsia="仿宋_GB2312"/>
              </w:rPr>
              <w:t>1）垃圾清运干净，现场无遗留物，达到文勘实施条件。</w:t>
            </w:r>
          </w:p>
          <w:p>
            <w:pPr>
              <w:pStyle w:val="null3"/>
            </w:pPr>
            <w:r>
              <w:rPr>
                <w:rFonts w:ascii="仿宋_GB2312" w:hAnsi="仿宋_GB2312" w:cs="仿宋_GB2312" w:eastAsia="仿宋_GB2312"/>
              </w:rPr>
              <w:t>（</w:t>
            </w:r>
            <w:r>
              <w:rPr>
                <w:rFonts w:ascii="仿宋_GB2312" w:hAnsi="仿宋_GB2312" w:cs="仿宋_GB2312" w:eastAsia="仿宋_GB2312"/>
              </w:rPr>
              <w:t>2）建筑垃圾要清运至正规建筑垃圾消纳场、回填点或项目工地等，不扬尘、不撒漏、不随意倾倒垃圾，必须按有关规定及要求做好防尘降噪措施。</w:t>
            </w:r>
          </w:p>
          <w:p>
            <w:pPr>
              <w:pStyle w:val="null3"/>
            </w:pPr>
            <w:r>
              <w:rPr>
                <w:rFonts w:ascii="仿宋_GB2312" w:hAnsi="仿宋_GB2312" w:cs="仿宋_GB2312" w:eastAsia="仿宋_GB2312"/>
              </w:rPr>
              <w:t>（</w:t>
            </w:r>
            <w:r>
              <w:rPr>
                <w:rFonts w:ascii="仿宋_GB2312" w:hAnsi="仿宋_GB2312" w:cs="仿宋_GB2312" w:eastAsia="仿宋_GB2312"/>
              </w:rPr>
              <w:t>3）清运中不能超载，做好蓬盖，破碎现场避免扬尘，落实好安全文明生产及治污减霾工作。</w:t>
            </w:r>
          </w:p>
          <w:p>
            <w:pPr>
              <w:pStyle w:val="null3"/>
            </w:pPr>
            <w:r>
              <w:rPr>
                <w:rFonts w:ascii="仿宋_GB2312" w:hAnsi="仿宋_GB2312" w:cs="仿宋_GB2312" w:eastAsia="仿宋_GB2312"/>
              </w:rPr>
              <w:t>（</w:t>
            </w:r>
            <w:r>
              <w:rPr>
                <w:rFonts w:ascii="仿宋_GB2312" w:hAnsi="仿宋_GB2312" w:cs="仿宋_GB2312" w:eastAsia="仿宋_GB2312"/>
              </w:rPr>
              <w:t>4）项目在垃圾清运过程中，应采取围挡及覆盖的方式满足治污减霾工作要求。</w:t>
            </w:r>
          </w:p>
          <w:p>
            <w:pPr>
              <w:pStyle w:val="null3"/>
            </w:pPr>
            <w:r>
              <w:rPr>
                <w:rFonts w:ascii="仿宋_GB2312" w:hAnsi="仿宋_GB2312" w:cs="仿宋_GB2312" w:eastAsia="仿宋_GB2312"/>
              </w:rPr>
              <w:t>5、商务要求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服务期限：自合同签订之日起</w:t>
            </w:r>
            <w:r>
              <w:rPr>
                <w:rFonts w:ascii="仿宋_GB2312" w:hAnsi="仿宋_GB2312" w:cs="仿宋_GB2312" w:eastAsia="仿宋_GB2312"/>
              </w:rPr>
              <w:t>20日内完成项目。</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款项结算：工程进度完成</w:t>
            </w:r>
            <w:r>
              <w:rPr>
                <w:rFonts w:ascii="仿宋_GB2312" w:hAnsi="仿宋_GB2312" w:cs="仿宋_GB2312" w:eastAsia="仿宋_GB2312"/>
              </w:rPr>
              <w:t>60%后30个工作日内，甲方向乙方支付总费用的50%的工程款；工程全部完成并验收合格后3个月内无质量及上访等不稳定事件发生，甲方按照结算金额向乙方支付剩余工程款。</w:t>
            </w:r>
          </w:p>
          <w:p>
            <w:pPr>
              <w:pStyle w:val="null3"/>
              <w:spacing w:after="120"/>
            </w:pPr>
            <w:r>
              <w:rPr>
                <w:rFonts w:ascii="仿宋_GB2312" w:hAnsi="仿宋_GB2312" w:cs="仿宋_GB2312" w:eastAsia="仿宋_GB2312"/>
                <w:sz w:val="20"/>
              </w:rPr>
              <w:t>6、最高限价：</w:t>
            </w:r>
          </w:p>
          <w:p>
            <w:pPr>
              <w:pStyle w:val="null3"/>
              <w:spacing w:after="120"/>
            </w:pPr>
            <w:r>
              <w:rPr>
                <w:rFonts w:ascii="仿宋_GB2312" w:hAnsi="仿宋_GB2312" w:cs="仿宋_GB2312" w:eastAsia="仿宋_GB2312"/>
                <w:sz w:val="20"/>
              </w:rPr>
              <w:t>破碎厚度</w:t>
            </w:r>
            <w:r>
              <w:rPr>
                <w:rFonts w:ascii="仿宋_GB2312" w:hAnsi="仿宋_GB2312" w:cs="仿宋_GB2312" w:eastAsia="仿宋_GB2312"/>
                <w:sz w:val="20"/>
              </w:rPr>
              <w:t>30㎝水泥混凝土地面约6730㎡，最高限价49元/㎡；清运文勘清表垃圾约21000立方米，最高限价100元/立方米。</w:t>
            </w:r>
          </w:p>
          <w:p>
            <w:pPr>
              <w:pStyle w:val="null3"/>
              <w:spacing w:after="195"/>
            </w:pPr>
            <w:r>
              <w:rPr>
                <w:rFonts w:ascii="仿宋_GB2312" w:hAnsi="仿宋_GB2312" w:cs="仿宋_GB2312" w:eastAsia="仿宋_GB2312"/>
                <w:sz w:val="20"/>
                <w:b/>
              </w:rPr>
              <w:t>注：本工程量为拟定数量，最终以实际工程量为准结算</w:t>
            </w:r>
            <w:r>
              <w:rPr>
                <w:rFonts w:ascii="仿宋_GB2312" w:hAnsi="仿宋_GB2312" w:cs="仿宋_GB2312" w:eastAsia="仿宋_GB2312"/>
                <w:sz w:val="20"/>
                <w:b/>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CB3-11-9号宗地地面破碎、文勘清表、垃圾清运项目须达到文勘发掘实施条件。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两份。若电子投标文件与纸质投标文件不一致的，以纸质投标文件为准；若正本和副本不符，以正本为准。 2、 供应商务必在开标截止时间30分钟前，通过项目电子化交易系统进行签到，如未进行签到，产生的一切后果由供应商自行承担。 3、采购标的对应的中小企业划分标准所属行业为建筑业。建筑业的划型标准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5、中标人应当自发出中标通知书之日起30日内签订合同，本项目由西安浐灞国际港世园会展产业园组织实施采购，确定中标供应商后由中标供应商与西安浐灞国际港土地储备和不动产登记服务中心签订采购合同。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提供以下（1）（2）（3）三种形式的资料提供任何一种即可： （1）提供2024年度经审计的财务报告复印件，应满足以下要求： 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（2）提供资信证明原件或复印件，应满足以下要求： 在投标截止日期前6个月内其基本开户银行出具的资信证明。 （3） 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法定代表人授权书及被授权人身份证：法定代表人授权书、被授权人身份证及授权代表在本单位的社保缴纳证明（法定代表人直接参与，只须提交其身份证明）。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供应商具备履行合同所必需的设备、专业技术</w:t>
            </w:r>
          </w:p>
        </w:tc>
        <w:tc>
          <w:tcPr>
            <w:tcW w:type="dxa" w:w="3322"/>
          </w:tcPr>
          <w:p>
            <w:pPr>
              <w:pStyle w:val="null3"/>
            </w:pPr>
            <w:r>
              <w:rPr>
                <w:rFonts w:ascii="仿宋_GB2312" w:hAnsi="仿宋_GB2312" w:cs="仿宋_GB2312" w:eastAsia="仿宋_GB2312"/>
              </w:rPr>
              <w:t>供应商具备履行合同所必需的设备、专业技术及合法处置（运输）建筑垃圾的能力。</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财务状况报告（三选一）</w:t>
            </w:r>
          </w:p>
        </w:tc>
        <w:tc>
          <w:tcPr>
            <w:tcW w:type="dxa" w:w="3322"/>
          </w:tcPr>
          <w:p>
            <w:pPr>
              <w:pStyle w:val="null3"/>
            </w:pPr>
            <w:r>
              <w:rPr>
                <w:rFonts w:ascii="仿宋_GB2312" w:hAnsi="仿宋_GB2312" w:cs="仿宋_GB2312" w:eastAsia="仿宋_GB2312"/>
              </w:rPr>
              <w:t>提供以下（1）（2）（3）三种形式的资料提供任何一种即可： （1）提供2024年度经审计的财务报告复印件，应满足以下要求： 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（2）提供资信证明原件或复印件，应满足以下要求： 在投标截止日期前6个月内其基本开户银行出具的资信证明。 （3） 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列入信用中国(www.creditchina.gov.cn)重大税收违法失信主体、在中国执行信息公开网（http://zxgk.court.gov.cn/）未被列入失信被执行人及在中国政府采购网（www.ccgp.gov.cn）未被列入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磋商内容未出现漏项或数量与要求符，未出现重大负偏差</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资格证明文件.docx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清运、破碎、各方协调等，总体思路清晰、合理、可操作性强、可执行程度高，能很好推动项目得[10-7）分；包括不限于组织安排、清运、破碎、各方协调等，方案总体思路较为清晰、合理、可操作性较强、可执行程度较强计[7-5）分；包括不限于组织安排、清运、破碎、各方协调等，方案总体内容涵盖基本齐全计[5-3）分；包括不限于组织安排、清运、破碎、各方协调等，方案总体内容涵盖不完整计[3-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[10-7）分；服务内容提供具体详细的实施方案，方案总体思路较清晰，实施方法及工作安排较合理，涵盖内容较全面，针对性操较强得[7-5）分；提供较为具体的实施方案，方案总体思路基本清晰，实施方法及工作安排基本合理，涵盖内容基本全面，有针对性得[5-3）分；提供实施方案涵盖内容不全面，无法保证项目质量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清运过程中产生抛洒的处理措施</w:t>
            </w:r>
          </w:p>
        </w:tc>
        <w:tc>
          <w:tcPr>
            <w:tcW w:type="dxa" w:w="2492"/>
          </w:tcPr>
          <w:p>
            <w:pPr>
              <w:pStyle w:val="null3"/>
            </w:pPr>
            <w:r>
              <w:rPr>
                <w:rFonts w:ascii="仿宋_GB2312" w:hAnsi="仿宋_GB2312" w:cs="仿宋_GB2312" w:eastAsia="仿宋_GB2312"/>
              </w:rPr>
              <w:t>提供具体详细的措施方案，方案总体思路清晰，方法及工作安排合理，涵盖内容全面，针对性操作性强得[5-4）分；服务内容提供具体详细的措施方案，方案总体思路较清晰，方法及工作安排较合理，涵盖内容较全面，针对性操作性较强得[4-2）分；提供具体的措施方案，方案总体思路基本清晰，方法及工作安排基本合理，涵盖内容基本全面，有针对性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提供具体详细的措施方案，方案总体思路清晰，方法及工作安排合理，涵盖内容全面，针对性操作性强得[5-4)分；服务内容提供具体详细的措施方案，方案总体思路较清晰，方法及工作安排较合理，涵盖内容较全面，针对性操作性较强得[4-2)分； 提供具体的措施方案，方案总体思路基本清晰，方法及工作安排基本合理，涵盖内容基本全面，有针对性得[2-0]分。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制定安全文明作业措施</w:t>
            </w:r>
          </w:p>
        </w:tc>
        <w:tc>
          <w:tcPr>
            <w:tcW w:type="dxa" w:w="2492"/>
          </w:tcPr>
          <w:p>
            <w:pPr>
              <w:pStyle w:val="null3"/>
            </w:pPr>
            <w:r>
              <w:rPr>
                <w:rFonts w:ascii="仿宋_GB2312" w:hAnsi="仿宋_GB2312" w:cs="仿宋_GB2312" w:eastAsia="仿宋_GB2312"/>
              </w:rPr>
              <w:t>提供具体详细的措施方案，方案总体思路清晰，方法及工作安排合理，涵盖内容全面，针对性操作性强得[5-4)分；服务内容提供具体详细的措施方案，方案总体思路较清晰，方法及工作安排较合理，涵盖内容较全面，针对性操作性较强得[4-2)分； 提供具体的措施方案，方案总体思路基本清晰，方法及工作安排基本合理，涵盖内容基本全面，有针对性得[2-0]分。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破碎方案</w:t>
            </w:r>
          </w:p>
        </w:tc>
        <w:tc>
          <w:tcPr>
            <w:tcW w:type="dxa" w:w="2492"/>
          </w:tcPr>
          <w:p>
            <w:pPr>
              <w:pStyle w:val="null3"/>
            </w:pPr>
            <w:r>
              <w:rPr>
                <w:rFonts w:ascii="仿宋_GB2312" w:hAnsi="仿宋_GB2312" w:cs="仿宋_GB2312" w:eastAsia="仿宋_GB2312"/>
              </w:rPr>
              <w:t>提供具体详细的措施方案，方案总体思路清晰，方法及工作安排合理，涵盖内容全面，针对性操作性强得[5-4)分；服务内容提供具体详细的措施方案，方案总体思路较清晰，方法及工作安排较合理，涵盖内容较全面，针对性操作性较强得[4-2)分；提供具体的措施方案，方案总体思路基本清晰，方法及工作安排基本合理，涵盖内容基本全面，有针对性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供具体详细的措施方案，方案总体思路清晰，方法及工作安排合理，涵盖内容全面，针对性操作性强得[5-4)分；服务内容提供具体详细的措施方案，方案总体思路较清晰，方法及工作安排较合理，涵盖内容较全面，针对性操作性较强得[4-2)分；提供具体的措施方案，方案总体思路基本清晰，方法及工作安排基本合理，涵盖内容基本全面，有针对性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投入机械计划针对本项目编制，符合项目实际情况及实施要求，内容详尽且涵盖角度全面，合理性和可行性强，能够保障项目顺利实施得[5-4)分；投入计划针对本项目编制，符合项目实际情况及实施要求，内容详尽且涵盖角度较全面，有一定的合理性和可行性得[4-2)分；投入计划内容简单、笼统，实施性差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（1）具备中级工程师及以上职称得2分，其他得1分； （2）项目部组成科学合理、人员配置充足，有详细的人员配置清单，针对性强，能够很好的满足项目需求得[5-4)分； 项目部组成科学合理、人员配置齐全，有详细的人员配置清单，有一定的针对性，满足项目需求得[4-2)分； 项目部组成人员缺乏科学合理性，无人员配置清单，无法满足项目需求得[2-0]分。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提供健全可靠的突发事件应急处理方案，从应急调配能力及意外事故处理方案等方面进行打分，方案内容完整，针对性可行性强，确保出现突发性事件时能高效的解决突发性事件，根据响应程度得[3-0]分。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专门针对本项目编制，符合项目实际情况及实施要求，内容详尽且涵盖角度全面，合理性和可行性强，保障充分得[5-4)分； 专门针对本项目编制，符合项目实际情况及实施要求，内容详尽且涵盖角度基本全面，有一定的合理性和可行性的得[4-2)分； 专门针对本项目编制，基本符合项目实际情况及实施要求，内容较详细，涵盖角度较全面，基本合理可行的得[2-0]分。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2022年1月至今类似项目业绩，每提供一份业绩合同得1分，满5分。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