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版本号：HSGJ2025-21920251031001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报告厅建设项目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HSGJ2025-219</w:t>
      </w:r>
      <w:r>
        <w:br/>
      </w:r>
      <w:r>
        <w:br/>
      </w:r>
      <w:r>
        <w:br/>
      </w:r>
    </w:p>
    <w:p>
      <w:pPr>
        <w:pStyle w:val="null3"/>
        <w:jc w:val="center"/>
        <w:outlineLvl w:val="2"/>
      </w:pPr>
      <w:r>
        <w:rPr>
          <w:rFonts w:ascii="仿宋_GB2312" w:hAnsi="仿宋_GB2312" w:cs="仿宋_GB2312" w:eastAsia="仿宋_GB2312"/>
          <w:sz w:val="28"/>
          <w:b/>
        </w:rPr>
        <w:t>西安市浐灞第二十三小学</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西安市浐灞第二十三小学</w:t>
      </w:r>
      <w:r>
        <w:rPr>
          <w:rFonts w:ascii="仿宋_GB2312" w:hAnsi="仿宋_GB2312" w:cs="仿宋_GB2312" w:eastAsia="仿宋_GB2312"/>
        </w:rPr>
        <w:t>委托，拟对</w:t>
      </w:r>
      <w:r>
        <w:rPr>
          <w:rFonts w:ascii="仿宋_GB2312" w:hAnsi="仿宋_GB2312" w:cs="仿宋_GB2312" w:eastAsia="仿宋_GB2312"/>
        </w:rPr>
        <w:t>报告厅建设项目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HSGJ2025-219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报告厅建设项目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报告厅建设项目，本项目主要对校园内报告厅建设工作，装饰改造工程、电气设备安装工程、智能化工程等。具体内容详见第三章。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采购包1（报告厅建设项目）：属于专门面向中小企业采购。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2、基本资格条件：符合《中华人民共和国政府采购法》第二十二条的规定，提供承诺函；</w:t>
      </w:r>
    </w:p>
    <w:p>
      <w:pPr>
        <w:pStyle w:val="null3"/>
      </w:pPr>
      <w:r>
        <w:rPr>
          <w:rFonts w:ascii="仿宋_GB2312" w:hAnsi="仿宋_GB2312" w:cs="仿宋_GB2312" w:eastAsia="仿宋_GB2312"/>
        </w:rPr>
        <w:t>3、法定代表人委托授权书\身份证明：供应商应授权合法的人员参加投标全过程，其中法定代表人直接参加投标的，须出具法定代表人身份证，并与营业执照上信息一致。法定代表人授权代表参加投标的，须出具法定代表人授权书及授权代表身份证，授权代表须提供近六个月中任一个月缴纳社保证明复印件并加盖单位公章；</w:t>
      </w:r>
    </w:p>
    <w:p>
      <w:pPr>
        <w:pStyle w:val="null3"/>
      </w:pPr>
      <w:r>
        <w:rPr>
          <w:rFonts w:ascii="仿宋_GB2312" w:hAnsi="仿宋_GB2312" w:cs="仿宋_GB2312" w:eastAsia="仿宋_GB2312"/>
        </w:rPr>
        <w:t>4、关联关系：单位负责人为同一人或者存在直接控股、管理关系的不同供应商，不得参加同一合同项下的政府采购活动。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5、资质要求：供应商具备建筑工程施工总承包三级及以上资质或建筑装修装饰工程专业承包二级及以上资质（或调整后的同等级资质）,同时具有有效的安全生产许可证；</w:t>
      </w:r>
    </w:p>
    <w:p>
      <w:pPr>
        <w:pStyle w:val="null3"/>
      </w:pPr>
      <w:r>
        <w:rPr>
          <w:rFonts w:ascii="仿宋_GB2312" w:hAnsi="仿宋_GB2312" w:cs="仿宋_GB2312" w:eastAsia="仿宋_GB2312"/>
        </w:rPr>
        <w:t>6、项目经理：供应商拟派项目经理具备建筑工程专业注册二级（含）以上建造师资格（电子化证书与纸质证书具有同等效力），同时具有有效的安全生产考核合格证（安全考核B证），在本单位注册且无在建工程（提供承诺书）</w:t>
      </w:r>
    </w:p>
    <w:p>
      <w:pPr>
        <w:pStyle w:val="null3"/>
      </w:pPr>
      <w:r>
        <w:rPr>
          <w:rFonts w:ascii="仿宋_GB2312" w:hAnsi="仿宋_GB2312" w:cs="仿宋_GB2312" w:eastAsia="仿宋_GB2312"/>
        </w:rPr>
        <w:t>7、信誉查询：供应商基本信息及项目经理的基本信息在“陕西省住房和城乡建设厅”（https://js.shaanxi.gov.cn/）或全国建筑市场监管公共服务平台（https://jzsc.mohurd.gov.cn/）可查询。</w:t>
      </w:r>
    </w:p>
    <w:p>
      <w:pPr>
        <w:pStyle w:val="null3"/>
      </w:pPr>
      <w:r>
        <w:rPr>
          <w:rFonts w:ascii="仿宋_GB2312" w:hAnsi="仿宋_GB2312" w:cs="仿宋_GB2312" w:eastAsia="仿宋_GB2312"/>
        </w:rPr>
        <w:t>8、中小企业声明：本项目专门面向中小企业采购，须符合《政府采购促进中小企业发展管理办法》（财库〔2020〕46号）规定的中小企业参加，符合要求的监狱企业或残疾人福利单位视同小微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西安市浐灞第二十三小学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西安市浐灞第二十三小学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17629006514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曹美奇、李琛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采购包1：1,110,614.55元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代理服务费收费标准：按照国家计委颁布的《招标代理服务收费管理暂行办法》（计价格『2002』1980号）及发改办价格『2003』857号文规定按工程类收取代理服务费。 银行户名：华晟国际项目管理有限公司 开户银行：建设银行西安劳动路支行 账 号：610501 740015 00000 427 转账事由：HSGJ2025-219项目代理服务费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西安市浐灞第二十三小学</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西安市浐灞第二十三小学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西安市浐灞第二十三小学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联系人：曹美奇、李琛</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1,110,614.55</w:t>
      </w:r>
    </w:p>
    <w:p>
      <w:pPr>
        <w:pStyle w:val="null3"/>
      </w:pPr>
      <w:r>
        <w:rPr>
          <w:rFonts w:ascii="仿宋_GB2312" w:hAnsi="仿宋_GB2312" w:cs="仿宋_GB2312" w:eastAsia="仿宋_GB2312"/>
        </w:rPr>
        <w:t>采购包最高限价（元）: 1,110,614.55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西安市浐灞第二十三小学报告厅建设项目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1,110,614.55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标的名称：西安市浐灞第二十三小学报告厅建设项目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10" w:after="90"/>
              <w:jc w:val="both"/>
            </w:pPr>
            <w:r>
              <w:rPr>
                <w:rFonts w:ascii="仿宋_GB2312" w:hAnsi="仿宋_GB2312" w:cs="仿宋_GB2312" w:eastAsia="仿宋_GB2312"/>
                <w:sz w:val="24"/>
                <w:b/>
                <w:shd w:fill="FFFFFF" w:val="clear"/>
              </w:rPr>
              <w:t>一、项目概况</w:t>
            </w:r>
          </w:p>
          <w:p>
            <w:pPr>
              <w:pStyle w:val="null3"/>
              <w:spacing w:before="90" w:after="90"/>
              <w:ind w:firstLine="420"/>
              <w:jc w:val="both"/>
            </w:pPr>
            <w:r>
              <w:rPr>
                <w:rFonts w:ascii="仿宋_GB2312" w:hAnsi="仿宋_GB2312" w:cs="仿宋_GB2312" w:eastAsia="仿宋_GB2312"/>
                <w:sz w:val="24"/>
                <w:shd w:fill="FFFFFF" w:val="clear"/>
              </w:rPr>
              <w:t>西安市浐灞第二十三小学报告厅建设项目</w:t>
            </w:r>
            <w:r>
              <w:rPr>
                <w:rFonts w:ascii="仿宋_GB2312" w:hAnsi="仿宋_GB2312" w:cs="仿宋_GB2312" w:eastAsia="仿宋_GB2312"/>
                <w:sz w:val="24"/>
                <w:shd w:fill="FFFFFF" w:val="clear"/>
              </w:rPr>
              <w:t>，本项目主要对校园内报告厅建设工作</w:t>
            </w:r>
            <w:r>
              <w:rPr>
                <w:rFonts w:ascii="仿宋_GB2312" w:hAnsi="仿宋_GB2312" w:cs="仿宋_GB2312" w:eastAsia="仿宋_GB2312"/>
                <w:sz w:val="24"/>
                <w:shd w:fill="FFFFFF" w:val="clear"/>
              </w:rPr>
              <w:t>；装饰改造工程、电气设备安装工程、智能化工程。</w:t>
            </w:r>
          </w:p>
          <w:p>
            <w:pPr>
              <w:pStyle w:val="null3"/>
              <w:spacing w:before="210" w:after="90"/>
              <w:jc w:val="both"/>
            </w:pPr>
            <w:r>
              <w:rPr>
                <w:rFonts w:ascii="仿宋_GB2312" w:hAnsi="仿宋_GB2312" w:cs="仿宋_GB2312" w:eastAsia="仿宋_GB2312"/>
                <w:sz w:val="24"/>
                <w:b/>
                <w:shd w:fill="FFFFFF" w:val="clear"/>
              </w:rPr>
              <w:t>二、工程内容和施工地点、计划工期</w:t>
            </w:r>
          </w:p>
          <w:p>
            <w:pPr>
              <w:pStyle w:val="null3"/>
              <w:spacing w:before="90" w:after="90"/>
              <w:ind w:firstLine="420"/>
              <w:jc w:val="both"/>
            </w:pPr>
            <w:r>
              <w:rPr>
                <w:rFonts w:ascii="仿宋_GB2312" w:hAnsi="仿宋_GB2312" w:cs="仿宋_GB2312" w:eastAsia="仿宋_GB2312"/>
                <w:sz w:val="24"/>
                <w:shd w:fill="FFFFFF" w:val="clear"/>
              </w:rPr>
              <w:t>（一）工程内容：西安市浐灞第二十三小学报告厅建设项目</w:t>
            </w:r>
          </w:p>
          <w:p>
            <w:pPr>
              <w:pStyle w:val="null3"/>
              <w:spacing w:before="90" w:after="90"/>
              <w:ind w:firstLine="420"/>
              <w:jc w:val="both"/>
            </w:pPr>
            <w:r>
              <w:rPr>
                <w:rFonts w:ascii="仿宋_GB2312" w:hAnsi="仿宋_GB2312" w:cs="仿宋_GB2312" w:eastAsia="仿宋_GB2312"/>
                <w:sz w:val="24"/>
                <w:shd w:fill="FFFFFF" w:val="clear"/>
              </w:rPr>
              <w:t>（二）工程地点：西安市浐灞第二十三小学。</w:t>
            </w:r>
          </w:p>
          <w:p>
            <w:pPr>
              <w:pStyle w:val="null3"/>
              <w:spacing w:before="90" w:after="90"/>
              <w:ind w:firstLine="420"/>
              <w:jc w:val="both"/>
            </w:pPr>
            <w:r>
              <w:rPr>
                <w:rFonts w:ascii="仿宋_GB2312" w:hAnsi="仿宋_GB2312" w:cs="仿宋_GB2312" w:eastAsia="仿宋_GB2312"/>
                <w:sz w:val="24"/>
                <w:shd w:fill="FFFFFF" w:val="clear"/>
              </w:rPr>
              <w:t>（三）计划工期：</w:t>
            </w:r>
            <w:r>
              <w:rPr>
                <w:rFonts w:ascii="仿宋_GB2312" w:hAnsi="仿宋_GB2312" w:cs="仿宋_GB2312" w:eastAsia="仿宋_GB2312"/>
                <w:sz w:val="24"/>
              </w:rPr>
              <w:t>自合同签订之日起</w:t>
            </w:r>
            <w:r>
              <w:rPr>
                <w:rFonts w:ascii="仿宋_GB2312" w:hAnsi="仿宋_GB2312" w:cs="仿宋_GB2312" w:eastAsia="仿宋_GB2312"/>
                <w:sz w:val="24"/>
              </w:rPr>
              <w:t>45个日历日内竣工</w:t>
            </w:r>
            <w:r>
              <w:rPr>
                <w:rFonts w:ascii="仿宋_GB2312" w:hAnsi="仿宋_GB2312" w:cs="仿宋_GB2312" w:eastAsia="仿宋_GB2312"/>
                <w:sz w:val="24"/>
              </w:rPr>
              <w:t>。</w:t>
            </w:r>
          </w:p>
          <w:p>
            <w:pPr>
              <w:pStyle w:val="null3"/>
              <w:spacing w:before="90" w:after="90"/>
              <w:ind w:firstLine="420"/>
              <w:jc w:val="both"/>
            </w:pPr>
            <w:r>
              <w:rPr>
                <w:rFonts w:ascii="仿宋_GB2312" w:hAnsi="仿宋_GB2312" w:cs="仿宋_GB2312" w:eastAsia="仿宋_GB2312"/>
                <w:sz w:val="24"/>
                <w:shd w:fill="FFFFFF" w:val="clear"/>
              </w:rPr>
              <w:t>（四）缺陷责任期：本工程缺陷责任期为</w:t>
            </w:r>
            <w:r>
              <w:rPr>
                <w:rFonts w:ascii="仿宋_GB2312" w:hAnsi="仿宋_GB2312" w:cs="仿宋_GB2312" w:eastAsia="仿宋_GB2312"/>
                <w:sz w:val="24"/>
                <w:shd w:fill="FFFFFF" w:val="clear"/>
              </w:rPr>
              <w:t>24个月，缺陷责任期自工程竣工验收合格之日起计算。</w:t>
            </w:r>
          </w:p>
          <w:p>
            <w:pPr>
              <w:pStyle w:val="null3"/>
              <w:spacing w:before="90" w:after="90"/>
              <w:ind w:firstLine="420"/>
              <w:jc w:val="both"/>
            </w:pPr>
            <w:r>
              <w:rPr>
                <w:rFonts w:ascii="仿宋_GB2312" w:hAnsi="仿宋_GB2312" w:cs="仿宋_GB2312" w:eastAsia="仿宋_GB2312"/>
                <w:sz w:val="24"/>
                <w:shd w:fill="FFFFFF" w:val="clear"/>
              </w:rPr>
              <w:t>（五）工程质量保修期：符合国家建设工程的最低保修期限</w:t>
            </w:r>
            <w:r>
              <w:rPr>
                <w:rFonts w:ascii="仿宋_GB2312" w:hAnsi="仿宋_GB2312" w:cs="仿宋_GB2312" w:eastAsia="仿宋_GB2312"/>
                <w:sz w:val="24"/>
                <w:shd w:fill="FFFFFF" w:val="clear"/>
              </w:rPr>
              <w:t>。</w:t>
            </w:r>
          </w:p>
          <w:p>
            <w:pPr>
              <w:pStyle w:val="null3"/>
              <w:spacing w:before="90" w:after="90"/>
              <w:ind w:firstLine="420"/>
              <w:jc w:val="both"/>
            </w:pPr>
            <w:r>
              <w:rPr>
                <w:rFonts w:ascii="仿宋_GB2312" w:hAnsi="仿宋_GB2312" w:cs="仿宋_GB2312" w:eastAsia="仿宋_GB2312"/>
                <w:sz w:val="24"/>
                <w:shd w:fill="FFFFFF" w:val="clear"/>
              </w:rPr>
              <w:t>（六）质量要求：</w:t>
            </w:r>
            <w:r>
              <w:rPr>
                <w:rFonts w:ascii="仿宋_GB2312" w:hAnsi="仿宋_GB2312" w:cs="仿宋_GB2312" w:eastAsia="仿宋_GB2312"/>
                <w:sz w:val="24"/>
              </w:rPr>
              <w:t>符合国家现行有关施工质量验收规范</w:t>
            </w:r>
            <w:r>
              <w:rPr>
                <w:rFonts w:ascii="仿宋_GB2312" w:hAnsi="仿宋_GB2312" w:cs="仿宋_GB2312" w:eastAsia="仿宋_GB2312"/>
                <w:sz w:val="24"/>
              </w:rPr>
              <w:t>“合格”要求。</w:t>
            </w:r>
          </w:p>
          <w:p>
            <w:pPr>
              <w:pStyle w:val="null3"/>
              <w:spacing w:before="210" w:after="90"/>
              <w:ind w:left="270"/>
              <w:jc w:val="both"/>
            </w:pPr>
            <w:r>
              <w:rPr>
                <w:rFonts w:ascii="仿宋_GB2312" w:hAnsi="仿宋_GB2312" w:cs="仿宋_GB2312" w:eastAsia="仿宋_GB2312"/>
                <w:sz w:val="24"/>
                <w:b/>
                <w:shd w:fill="FFFFFF" w:val="clear"/>
              </w:rPr>
              <w:t>三、工程量清单和计价依据</w:t>
            </w:r>
          </w:p>
          <w:p>
            <w:pPr>
              <w:pStyle w:val="null3"/>
              <w:spacing w:before="90" w:after="90"/>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编制</w:t>
            </w:r>
            <w:r>
              <w:rPr>
                <w:rFonts w:ascii="仿宋_GB2312" w:hAnsi="仿宋_GB2312" w:cs="仿宋_GB2312" w:eastAsia="仿宋_GB2312"/>
                <w:sz w:val="24"/>
                <w:b/>
                <w:shd w:fill="FFFFFF" w:val="clear"/>
              </w:rPr>
              <w:t>依据：</w:t>
            </w:r>
          </w:p>
          <w:p>
            <w:pPr>
              <w:pStyle w:val="null3"/>
              <w:ind w:firstLine="480"/>
              <w:jc w:val="left"/>
            </w:pPr>
            <w:r>
              <w:rPr>
                <w:rFonts w:ascii="仿宋_GB2312" w:hAnsi="仿宋_GB2312" w:cs="仿宋_GB2312" w:eastAsia="仿宋_GB2312"/>
                <w:sz w:val="24"/>
                <w:color w:val="000000"/>
                <w:shd w:fill="FFFFFF" w:val="clear"/>
              </w:rPr>
              <w:t>1.工程计价执行陕西省《建设工程工程量清单计价标准DB 61/T 5126-2025》、《陕西省建设工程费用规则》（2025）；工程量计算执行《市政工程工程量计算标准DB 61/T 5128-2025》、《房屋建筑与装饰工程工程量计算标准DB 61/T 5129-2025》、《通用安装工程工程量计算标准DB 61/T 5130-2025》、《园林绿化工程工程量计算标准DB 61/T 5131-2025》；</w:t>
            </w:r>
          </w:p>
          <w:p>
            <w:pPr>
              <w:pStyle w:val="null3"/>
              <w:ind w:firstLine="480"/>
              <w:jc w:val="left"/>
            </w:pPr>
            <w:r>
              <w:rPr>
                <w:rFonts w:ascii="仿宋_GB2312" w:hAnsi="仿宋_GB2312" w:cs="仿宋_GB2312" w:eastAsia="仿宋_GB2312"/>
                <w:sz w:val="24"/>
                <w:color w:val="000000"/>
                <w:shd w:fill="FFFFFF" w:val="clear"/>
              </w:rPr>
              <w:t>2.《陕西省房屋建筑与装饰工程消耗量定额》（2025）、《陕西省通用安装工程消耗量定额》（2025）、《陕西省市政工程消耗量定额》（2025）、《陕西省园林绿化工程消耗量定额》（2025）、《陕西省城市地下综合管廊工程消耗量定额》（2025）、《陕西省绿色建筑工程消耗量定额》（2025）、与定额相配套使用的基价表；《陕西省建设工程施工机械台班费用定额》（2025）；《陕西省建设工程施工仪器仪表台班费用定额》（2025）；</w:t>
            </w:r>
          </w:p>
          <w:p>
            <w:pPr>
              <w:pStyle w:val="null3"/>
              <w:ind w:firstLine="480"/>
              <w:jc w:val="left"/>
            </w:pPr>
            <w:r>
              <w:rPr>
                <w:rFonts w:ascii="仿宋_GB2312" w:hAnsi="仿宋_GB2312" w:cs="仿宋_GB2312" w:eastAsia="仿宋_GB2312"/>
                <w:sz w:val="24"/>
                <w:color w:val="000000"/>
                <w:shd w:fill="FFFFFF" w:val="clear"/>
              </w:rPr>
              <w:t>3.“西安市浐灞第二十三小学”提供的施工图纸及对应的图纸答疑；</w:t>
            </w:r>
          </w:p>
          <w:p>
            <w:pPr>
              <w:pStyle w:val="null3"/>
              <w:ind w:firstLine="480"/>
              <w:jc w:val="left"/>
            </w:pPr>
            <w:r>
              <w:rPr>
                <w:rFonts w:ascii="仿宋_GB2312" w:hAnsi="仿宋_GB2312" w:cs="仿宋_GB2312" w:eastAsia="仿宋_GB2312"/>
                <w:sz w:val="24"/>
                <w:color w:val="000000"/>
                <w:shd w:fill="FFFFFF" w:val="clear"/>
              </w:rPr>
              <w:t>4.施工现场情况、工程特点及常规施工方案；</w:t>
            </w:r>
          </w:p>
          <w:p>
            <w:pPr>
              <w:pStyle w:val="null3"/>
              <w:ind w:firstLine="480"/>
              <w:jc w:val="left"/>
            </w:pPr>
            <w:r>
              <w:rPr>
                <w:rFonts w:ascii="仿宋_GB2312" w:hAnsi="仿宋_GB2312" w:cs="仿宋_GB2312" w:eastAsia="仿宋_GB2312"/>
                <w:sz w:val="24"/>
                <w:color w:val="000000"/>
                <w:shd w:fill="FFFFFF" w:val="clear"/>
              </w:rPr>
              <w:t>5.与建设工程项目有关的标准、规范、图集、技术资料；</w:t>
            </w:r>
          </w:p>
          <w:p>
            <w:pPr>
              <w:pStyle w:val="null3"/>
              <w:spacing w:before="90" w:after="90"/>
              <w:jc w:val="both"/>
            </w:pPr>
            <w:r>
              <w:rPr>
                <w:rFonts w:ascii="仿宋_GB2312" w:hAnsi="仿宋_GB2312" w:cs="仿宋_GB2312" w:eastAsia="仿宋_GB2312"/>
                <w:sz w:val="24"/>
                <w:shd w:fill="FFFFFF" w:val="clear"/>
              </w:rPr>
              <w:t>6.其他相关资料。</w:t>
            </w:r>
          </w:p>
          <w:p>
            <w:pPr>
              <w:pStyle w:val="null3"/>
              <w:jc w:val="left"/>
            </w:pPr>
            <w:r>
              <w:rPr>
                <w:rFonts w:ascii="仿宋_GB2312" w:hAnsi="仿宋_GB2312" w:cs="仿宋_GB2312" w:eastAsia="仿宋_GB2312"/>
                <w:sz w:val="24"/>
                <w:b/>
                <w:color w:val="000000"/>
                <w:shd w:fill="FFFFFF" w:val="clear"/>
              </w:rPr>
              <w:t>（二）</w:t>
            </w:r>
            <w:r>
              <w:rPr>
                <w:rFonts w:ascii="仿宋_GB2312" w:hAnsi="仿宋_GB2312" w:cs="仿宋_GB2312" w:eastAsia="仿宋_GB2312"/>
                <w:sz w:val="24"/>
                <w:b/>
                <w:color w:val="000000"/>
                <w:shd w:fill="FFFFFF" w:val="clear"/>
              </w:rPr>
              <w:t>其他相关说明</w:t>
            </w:r>
            <w:r>
              <w:rPr>
                <w:rFonts w:ascii="仿宋_GB2312" w:hAnsi="仿宋_GB2312" w:cs="仿宋_GB2312" w:eastAsia="仿宋_GB2312"/>
                <w:sz w:val="24"/>
                <w:b/>
                <w:color w:val="000000"/>
                <w:shd w:fill="FFFFFF" w:val="clear"/>
              </w:rPr>
              <w:t>：</w:t>
            </w:r>
          </w:p>
          <w:p>
            <w:pPr>
              <w:pStyle w:val="null3"/>
              <w:ind w:firstLine="480"/>
              <w:jc w:val="left"/>
            </w:pPr>
            <w:r>
              <w:rPr>
                <w:rFonts w:ascii="仿宋_GB2312" w:hAnsi="仿宋_GB2312" w:cs="仿宋_GB2312" w:eastAsia="仿宋_GB2312"/>
                <w:sz w:val="24"/>
                <w:color w:val="000000"/>
                <w:shd w:fill="FFFFFF" w:val="clear"/>
              </w:rPr>
              <w:t>1.本项目养老保险计入总造价；</w:t>
            </w:r>
          </w:p>
          <w:p>
            <w:pPr>
              <w:pStyle w:val="null3"/>
              <w:ind w:firstLine="480"/>
              <w:jc w:val="left"/>
            </w:pPr>
            <w:r>
              <w:rPr>
                <w:rFonts w:ascii="仿宋_GB2312" w:hAnsi="仿宋_GB2312" w:cs="仿宋_GB2312" w:eastAsia="仿宋_GB2312"/>
                <w:sz w:val="24"/>
                <w:color w:val="000000"/>
                <w:shd w:fill="FFFFFF" w:val="clear"/>
              </w:rPr>
              <w:t>2.材料价采用《陕西工程造价信息》（2025年第7期）及市场价；</w:t>
            </w:r>
          </w:p>
          <w:p>
            <w:pPr>
              <w:pStyle w:val="null3"/>
              <w:ind w:firstLine="480"/>
              <w:jc w:val="left"/>
            </w:pPr>
            <w:r>
              <w:rPr>
                <w:rFonts w:ascii="仿宋_GB2312" w:hAnsi="仿宋_GB2312" w:cs="仿宋_GB2312" w:eastAsia="仿宋_GB2312"/>
                <w:sz w:val="24"/>
                <w:color w:val="000000"/>
                <w:shd w:fill="FFFFFF" w:val="clear"/>
              </w:rPr>
              <w:t>3.本工程所用混凝土均采用商品混凝土；</w:t>
            </w:r>
          </w:p>
          <w:p>
            <w:pPr>
              <w:pStyle w:val="null3"/>
              <w:spacing w:before="90" w:after="90"/>
              <w:ind w:firstLine="480"/>
              <w:jc w:val="both"/>
            </w:pPr>
            <w:r>
              <w:rPr>
                <w:rFonts w:ascii="仿宋_GB2312" w:hAnsi="仿宋_GB2312" w:cs="仿宋_GB2312" w:eastAsia="仿宋_GB2312"/>
                <w:sz w:val="24"/>
                <w:shd w:fill="FFFFFF" w:val="clear"/>
              </w:rPr>
              <w:t>4.编制软件采用广联达云计价平台GCCP7.0版本号7.5000.23.1。</w:t>
            </w:r>
          </w:p>
          <w:p>
            <w:pPr>
              <w:pStyle w:val="null3"/>
              <w:spacing w:before="210" w:after="90"/>
              <w:ind w:left="270"/>
              <w:jc w:val="both"/>
            </w:pPr>
            <w:r>
              <w:rPr>
                <w:rFonts w:ascii="仿宋_GB2312" w:hAnsi="仿宋_GB2312" w:cs="仿宋_GB2312" w:eastAsia="仿宋_GB2312"/>
                <w:sz w:val="24"/>
                <w:b/>
                <w:shd w:fill="FFFFFF" w:val="clear"/>
              </w:rPr>
              <w:t>四、施工要求</w:t>
            </w:r>
          </w:p>
          <w:p>
            <w:pPr>
              <w:pStyle w:val="null3"/>
              <w:spacing w:before="90" w:after="90"/>
              <w:ind w:firstLine="420"/>
              <w:jc w:val="both"/>
            </w:pPr>
            <w:r>
              <w:rPr>
                <w:rFonts w:ascii="仿宋_GB2312" w:hAnsi="仿宋_GB2312" w:cs="仿宋_GB2312" w:eastAsia="仿宋_GB2312"/>
                <w:sz w:val="24"/>
                <w:shd w:fill="FFFFFF" w:val="clear"/>
              </w:rPr>
              <w:t>在施工期间，中标供应商必须注意院内人员安全，加强安全措施，并对施工人员进行安全教育。施工人员必须持证上岗。因采购人工作的特殊性，要求中标供应商在施工中做到封闭性施工。</w:t>
            </w:r>
          </w:p>
          <w:p>
            <w:pPr>
              <w:pStyle w:val="null3"/>
              <w:numPr>
                <w:ilvl w:val="0"/>
                <w:numId w:val="1"/>
              </w:numPr>
              <w:spacing w:before="90" w:after="90"/>
              <w:jc w:val="both"/>
            </w:pPr>
            <w:r>
              <w:rPr>
                <w:rFonts w:ascii="仿宋_GB2312" w:hAnsi="仿宋_GB2312" w:cs="仿宋_GB2312" w:eastAsia="仿宋_GB2312"/>
                <w:sz w:val="24"/>
                <w:shd w:fill="FFFFFF" w:val="clear"/>
              </w:rPr>
              <w:t>安全方面施工人员要具备相应资质，遵守安全制度，如好安全帽等基本防护装备。</w:t>
            </w:r>
          </w:p>
          <w:p>
            <w:pPr>
              <w:pStyle w:val="null3"/>
              <w:spacing w:before="90" w:after="90"/>
              <w:ind w:firstLine="480"/>
              <w:jc w:val="both"/>
            </w:pPr>
            <w:r>
              <w:rPr>
                <w:rFonts w:ascii="仿宋_GB2312" w:hAnsi="仿宋_GB2312" w:cs="仿宋_GB2312" w:eastAsia="仿宋_GB2312"/>
                <w:sz w:val="24"/>
                <w:shd w:fill="FFFFFF" w:val="clear"/>
              </w:rPr>
              <w:t>在施工现场周围设置明显的警示标志，像</w:t>
            </w:r>
            <w:r>
              <w:rPr>
                <w:rFonts w:ascii="仿宋_GB2312" w:hAnsi="仿宋_GB2312" w:cs="仿宋_GB2312" w:eastAsia="仿宋_GB2312"/>
                <w:sz w:val="24"/>
                <w:shd w:fill="FFFFFF" w:val="clear"/>
              </w:rPr>
              <w:t>“正在施工，请勿靠近”的牌子，防止学生和教职工意外闯入。</w:t>
            </w:r>
          </w:p>
          <w:p>
            <w:pPr>
              <w:pStyle w:val="null3"/>
              <w:spacing w:before="90" w:after="90"/>
              <w:ind w:firstLine="420"/>
              <w:jc w:val="both"/>
            </w:pPr>
            <w:r>
              <w:rPr>
                <w:rFonts w:ascii="仿宋_GB2312" w:hAnsi="仿宋_GB2312" w:cs="仿宋_GB2312" w:eastAsia="仿宋_GB2312"/>
                <w:sz w:val="24"/>
                <w:shd w:fill="FFFFFF" w:val="clear"/>
              </w:rPr>
              <w:t>对于有高空作业的情况，要确保脚手架等设备安装牢固。</w:t>
            </w:r>
          </w:p>
          <w:p>
            <w:pPr>
              <w:pStyle w:val="null3"/>
              <w:spacing w:before="90" w:after="90"/>
              <w:ind w:firstLine="420"/>
              <w:jc w:val="both"/>
            </w:pPr>
            <w:r>
              <w:rPr>
                <w:rFonts w:ascii="仿宋_GB2312" w:hAnsi="仿宋_GB2312" w:cs="仿宋_GB2312" w:eastAsia="仿宋_GB2312"/>
                <w:sz w:val="24"/>
                <w:shd w:fill="FFFFFF" w:val="clear"/>
              </w:rPr>
              <w:t>(2)时间安排</w:t>
            </w:r>
          </w:p>
          <w:p>
            <w:pPr>
              <w:pStyle w:val="null3"/>
              <w:spacing w:before="90" w:after="90"/>
              <w:ind w:firstLine="420"/>
              <w:jc w:val="both"/>
            </w:pPr>
            <w:r>
              <w:rPr>
                <w:rFonts w:ascii="仿宋_GB2312" w:hAnsi="仿宋_GB2312" w:cs="仿宋_GB2312" w:eastAsia="仿宋_GB2312"/>
                <w:sz w:val="24"/>
                <w:shd w:fill="FFFFFF" w:val="clear"/>
              </w:rPr>
              <w:t>应避免在正常教学时间进行高噪音施工，如电钻等发出巨大声响的操作可以安排在放学后或者节假日进行。</w:t>
            </w:r>
          </w:p>
          <w:p>
            <w:pPr>
              <w:pStyle w:val="null3"/>
              <w:spacing w:before="90" w:after="90"/>
              <w:ind w:firstLine="420"/>
              <w:jc w:val="both"/>
            </w:pPr>
            <w:r>
              <w:rPr>
                <w:rFonts w:ascii="仿宋_GB2312" w:hAnsi="仿宋_GB2312" w:cs="仿宋_GB2312" w:eastAsia="仿宋_GB2312"/>
                <w:sz w:val="24"/>
                <w:shd w:fill="FFFFFF" w:val="clear"/>
              </w:rPr>
              <w:t>(3)环境保护</w:t>
            </w:r>
          </w:p>
          <w:p>
            <w:pPr>
              <w:pStyle w:val="null3"/>
              <w:spacing w:before="90" w:after="90"/>
              <w:ind w:firstLine="420"/>
              <w:jc w:val="both"/>
            </w:pPr>
            <w:r>
              <w:rPr>
                <w:rFonts w:ascii="仿宋_GB2312" w:hAnsi="仿宋_GB2312" w:cs="仿宋_GB2312" w:eastAsia="仿宋_GB2312"/>
                <w:sz w:val="24"/>
                <w:shd w:fill="FFFFFF" w:val="clear"/>
              </w:rPr>
              <w:t>控制粉尘和建筑垃圾，像切割瓷砖等容易产生粉尘的工序，要采取洒水降尘措施。</w:t>
            </w:r>
          </w:p>
          <w:p>
            <w:pPr>
              <w:pStyle w:val="null3"/>
              <w:spacing w:before="90" w:after="90"/>
              <w:ind w:firstLine="420"/>
              <w:jc w:val="both"/>
            </w:pPr>
            <w:r>
              <w:rPr>
                <w:rFonts w:ascii="仿宋_GB2312" w:hAnsi="仿宋_GB2312" w:cs="仿宋_GB2312" w:eastAsia="仿宋_GB2312"/>
                <w:sz w:val="24"/>
                <w:shd w:fill="FFFFFF" w:val="clear"/>
              </w:rPr>
              <w:t>建筑垃圾要及时清理并运走，不能随意堆放，避免影响校园环境。</w:t>
            </w:r>
          </w:p>
          <w:p>
            <w:pPr>
              <w:pStyle w:val="null3"/>
              <w:spacing w:before="210" w:after="90"/>
              <w:ind w:left="270"/>
              <w:jc w:val="both"/>
            </w:pPr>
            <w:r>
              <w:rPr>
                <w:rFonts w:ascii="仿宋_GB2312" w:hAnsi="仿宋_GB2312" w:cs="仿宋_GB2312" w:eastAsia="仿宋_GB2312"/>
                <w:sz w:val="24"/>
                <w:b/>
                <w:shd w:fill="FFFFFF" w:val="clear"/>
              </w:rPr>
              <w:t>五、商务要求</w:t>
            </w:r>
          </w:p>
          <w:p>
            <w:pPr>
              <w:pStyle w:val="null3"/>
              <w:ind w:firstLine="420"/>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本项目为交钥匙工程。</w:t>
            </w:r>
          </w:p>
          <w:p>
            <w:pPr>
              <w:pStyle w:val="null3"/>
              <w:jc w:val="left"/>
            </w:pP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rPr>
              <w:t>合同签订后甲方支付合同总额的</w:t>
            </w:r>
            <w:r>
              <w:rPr>
                <w:rFonts w:ascii="仿宋_GB2312" w:hAnsi="仿宋_GB2312" w:cs="仿宋_GB2312" w:eastAsia="仿宋_GB2312"/>
                <w:sz w:val="24"/>
                <w:color w:val="000000"/>
              </w:rPr>
              <w:t>4</w:t>
            </w:r>
            <w:r>
              <w:rPr>
                <w:rFonts w:ascii="仿宋_GB2312" w:hAnsi="仿宋_GB2312" w:cs="仿宋_GB2312" w:eastAsia="仿宋_GB2312"/>
                <w:sz w:val="24"/>
                <w:color w:val="000000"/>
              </w:rPr>
              <w:t>0%作为预付款，项目验收完成竣工结(决)算后支付至实际工程款的100%。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合同签订后甲方支付合同总额的40%作为预付款，项目验收完成竣工结(决)算后支付至实际工程款的100%。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符合《中华人民共和国政府采购法》第二十二条的规定，提供承诺函；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供应商具备建筑工程施工总承包三级及以上资质或建筑装修装饰工程专业承包二级及以上资质（或调整后的同等级资质）,同时具有有效的安全生产许可证；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建筑工程专业注册二级（含）以上建造师资格（电子化证书与纸质证书具有同等效力），同时具有有效的安全生产考核合格证（安全考核B证），在本单位注册且无在建工程（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信誉查询</w:t>
            </w:r>
          </w:p>
        </w:tc>
        <w:tc>
          <w:tcPr>
            <w:tcW w:type="dxa" w:w="3322"/>
          </w:tcPr>
          <w:p>
            <w:pPr>
              <w:pStyle w:val="null3"/>
            </w:pPr>
            <w:r>
              <w:rPr>
                <w:rFonts w:ascii="仿宋_GB2312" w:hAnsi="仿宋_GB2312" w:cs="仿宋_GB2312" w:eastAsia="仿宋_GB2312"/>
              </w:rPr>
              <w:t>供应商基本信息及项目经理的基本信息在“陕西省住房和城乡建设厅”（https://js.shaanxi.gov.cn/）或全国建筑市场监管公共服务平台（https://jzsc.mohurd.gov.cn/）可查询。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已标价工程量清单 供应商类似项目业绩一览表.docx 中小企业声明函 资格证明文件.docx 强制优先采购产品承诺函 响应文件封面 首次报价.docx 磋商响应单位承诺书.docx 主要人员简历表.docx 报价函 标的清单 项目管理机构组成表.docx 响应函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标的清单 项目管理机构组成表.docx 资格证明文件.docx 技术、服务、合同条款及其他商务要求应答表.docx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资格证明文件.docx 技术、服务、合同条款及其他商务要求应答表.docx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资格证明文件.docx 技术、服务、合同条款及其他商务要求应答表.docx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①施工目标:成本目标、工期目标、质量目标 ②施工准备：技术准备、材料准备、机械准备、机具准备 ③施工平面布置与安排：现场围挡及收入口管理、消防及道路安排。 方案各部分内容全面详细、阐述条理清晰详尽、完全符合本项目采购需求得8分； 方案各部分内容较详细、阐述较清晰详尽、符合本项目采购需求得6分； 方案各部分基本符合本项目采购需求得4分； 方案各部分一般符合本项目采购需求得2分；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制定详细的施工方案、方法与技术措施， 符合行业规范及行业标准。 方案各部分内容全面详细、阐述条理清晰详尽、完全符合本项目采购需求得8分； 方案各部分内容较详细、阐述较清晰详尽、符合本项目采购需求得6分； 方案各部分基本符合本项目采购需求得4分； 方案各部分一般符合本项目采购需求得2分；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根据供应商提供的工期目标规划、施工总进度计划、进度计划实施工具方案等，由磋商小组进行综合评审。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根据供应商提供的项目人员情况进行评审如项目经理、技术负责人、施工员、资料员等人员配备方案由磋商小组进行综合评审。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项目管理机构组成表.docx</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施工重难点分析</w:t>
            </w:r>
          </w:p>
        </w:tc>
        <w:tc>
          <w:tcPr>
            <w:tcW w:type="dxa" w:w="2492"/>
          </w:tcPr>
          <w:p>
            <w:pPr>
              <w:pStyle w:val="null3"/>
            </w:pPr>
            <w:r>
              <w:rPr>
                <w:rFonts w:ascii="仿宋_GB2312" w:hAnsi="仿宋_GB2312" w:cs="仿宋_GB2312" w:eastAsia="仿宋_GB2312"/>
              </w:rPr>
              <w:t>根据供应商提供的施工重难点分析方案等，由磋商小组进行综合评审。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根据供应商针对突发事件应急保障措施及迎检方案的可行性（包含恶劣天气影响、自然灾害等特殊情况制定应急处置方案等）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提供2022年01月01日以来类似项目业绩合同（以合同签订时间为准），每份计1分，满分5分。 （注：以上证明文件在响应文件中附业绩合同扫描件并加盖公司公章。）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首次报价.docx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详见附件：首次报价.docx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