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版本号：LZBD2025-197620251111002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教学楼文化建设项目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LZBD2025-1976</w:t>
      </w:r>
      <w:r>
        <w:br/>
      </w:r>
      <w:r>
        <w:br/>
      </w:r>
      <w:r>
        <w:br/>
      </w:r>
    </w:p>
    <w:p>
      <w:pPr>
        <w:pStyle w:val="null3"/>
        <w:jc w:val="center"/>
        <w:outlineLvl w:val="2"/>
      </w:pPr>
      <w:r>
        <w:rPr>
          <w:rFonts w:ascii="仿宋_GB2312" w:hAnsi="仿宋_GB2312" w:cs="仿宋_GB2312" w:eastAsia="仿宋_GB2312"/>
          <w:sz w:val="28"/>
          <w:b/>
        </w:rPr>
        <w:t>西安市浐灞第十学校</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西安市浐灞第十学校</w:t>
      </w:r>
      <w:r>
        <w:rPr>
          <w:rFonts w:ascii="仿宋_GB2312" w:hAnsi="仿宋_GB2312" w:cs="仿宋_GB2312" w:eastAsia="仿宋_GB2312"/>
        </w:rPr>
        <w:t>委托，拟对</w:t>
      </w:r>
      <w:r>
        <w:rPr>
          <w:rFonts w:ascii="仿宋_GB2312" w:hAnsi="仿宋_GB2312" w:cs="仿宋_GB2312" w:eastAsia="仿宋_GB2312"/>
        </w:rPr>
        <w:t>教学楼文化建设项目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LZBD2025-1976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教学楼文化建设项目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地址位于西安市未央区启源二路西安市浐灞第十学校。为提升校园文化环境，满足学生阅读、活动及教学需求，拟实施学生阅读区建设、中学部活动区域改造提升及教学楼文化建设工程，具体的工作内容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采购包1（西安市浐灞第十学校教学楼文化建设项目）：属于专门面向中小企业采购。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1、拟派项目负责人资质和专业要求。：证书等级：具备注册二级及以上建造师资格（电子化证书与纸质证书具有同等效力） 专业：建筑工程专业 补充说明：同时具有有效的安全生产考核合格证（安全考核B证），在本单位注册且无在建工程（提供承诺书）；</w:t>
      </w:r>
    </w:p>
    <w:p>
      <w:pPr>
        <w:pStyle w:val="null3"/>
      </w:pPr>
      <w:r>
        <w:rPr>
          <w:rFonts w:ascii="仿宋_GB2312" w:hAnsi="仿宋_GB2312" w:cs="仿宋_GB2312" w:eastAsia="仿宋_GB2312"/>
        </w:rPr>
        <w:t>2、法人或者其他组织的营业执照等证明文件，自然人的身份证明。：供应商应是独立承担民事责任能力的法人、其 他组织或自然人，法人、其他组织须提供合法 有效的营业执照（或事业单位法人证书）等证 明资料， 自然人须提供身份证明。注：供应商需在项目电子化交易系统中按要求上传相应证明文件并进行电子签章。</w:t>
      </w:r>
    </w:p>
    <w:p>
      <w:pPr>
        <w:pStyle w:val="null3"/>
      </w:pPr>
      <w:r>
        <w:rPr>
          <w:rFonts w:ascii="仿宋_GB2312" w:hAnsi="仿宋_GB2312" w:cs="仿宋_GB2312" w:eastAsia="仿宋_GB2312"/>
        </w:rPr>
        <w:t>3、法定代表人或单位负责人参加投标的，应提供法定代表人或单位负责人身份证明。授权代表参加投标的，应提供法定代表人或单位负责人身份证明、授权委托书及授权代表在本单位近一年内任意时段缴纳社保的证明。：法定代表人或单位负责人参加投标的，应提供法定代表人或单位负责人身份证明。授权代表参加投标的，应提供法定代表人或单位负责人身份证明、授权委托书及授权代表在本单位近一年内任意时段缴纳社保的证明。注：供应商需在项目电子化交易系统中按要求上传相应证明文件并进行电子签章。</w:t>
      </w:r>
    </w:p>
    <w:p>
      <w:pPr>
        <w:pStyle w:val="null3"/>
      </w:pPr>
      <w:r>
        <w:rPr>
          <w:rFonts w:ascii="仿宋_GB2312" w:hAnsi="仿宋_GB2312" w:cs="仿宋_GB2312" w:eastAsia="仿宋_GB2312"/>
        </w:rPr>
        <w:t>4、企业资质：具备建筑工程施工总承包三级及以上资质,同时具有有效的安全生产许可证。注：供应商需在项目电子化交易系统中按要求上传相应证明文件并进行电子签章。</w:t>
      </w:r>
    </w:p>
    <w:p>
      <w:pPr>
        <w:pStyle w:val="null3"/>
      </w:pPr>
      <w:r>
        <w:rPr>
          <w:rFonts w:ascii="仿宋_GB2312" w:hAnsi="仿宋_GB2312" w:cs="仿宋_GB2312" w:eastAsia="仿宋_GB2312"/>
        </w:rPr>
        <w:t>5、供应商基本信息及项目经理的基本信息在“陕西省住房和城乡建设厅”（https://js.shaanxi.gov.cn/）或全国建筑市场监管公共服务平台（https://jzsc.mohurd.gov.cn/）可查询；：供应商基本信息及项目经理的基本信息在“陕西省住房和城乡建设厅”（https://js.shaanxi.gov.cn/）或全国建筑市场监管公共服务平台（https://jzsc.mohurd.gov.cn/）可查询；注：供应商需在项目电子化交易系统中按要求上传相应证明文件并进行电子签章。</w:t>
      </w:r>
    </w:p>
    <w:p>
      <w:pPr>
        <w:pStyle w:val="null3"/>
      </w:pPr>
      <w:r>
        <w:rPr>
          <w:rFonts w:ascii="仿宋_GB2312" w:hAnsi="仿宋_GB2312" w:cs="仿宋_GB2312" w:eastAsia="仿宋_GB2312"/>
        </w:rPr>
        <w:t>6、信用记录：供应商不得为“中国执行信息公开网”网站中列入失信被执行人和“信用中国”网站中列入重大税收违法失信主体的供应商，不得为“中国政府采购网”政府采购严重违法失信行为记录名单中被财政部门禁止参加政府采购活动的供应商；采购代理机构于投标截止日在网站的查询结果为准，如相关信用记录已失效，需提供相关证明资料。</w:t>
      </w:r>
    </w:p>
    <w:p>
      <w:pPr>
        <w:pStyle w:val="null3"/>
      </w:pPr>
      <w:r>
        <w:rPr>
          <w:rFonts w:ascii="仿宋_GB2312" w:hAnsi="仿宋_GB2312" w:cs="仿宋_GB2312" w:eastAsia="仿宋_GB2312"/>
        </w:rPr>
        <w:t>7、本项目专门面向中小企业采购（残疾人福利性单位、监狱企业视同小型、微型企业）：本项目专门面向中小企业采购（残疾人福利性单位、监狱企业视同小型、微型企业），供应商需提供《中小企业声明函》（监狱企业的证明文件或《残疾人福利性单位声明函》）。 注：供应商需在项目电子化交易系统中按要求上传相应证明文件并进行电子签章。</w:t>
      </w:r>
    </w:p>
    <w:p>
      <w:pPr>
        <w:pStyle w:val="null3"/>
      </w:pPr>
      <w:r>
        <w:rPr>
          <w:rFonts w:ascii="仿宋_GB2312" w:hAnsi="仿宋_GB2312" w:cs="仿宋_GB2312" w:eastAsia="仿宋_GB2312"/>
        </w:rPr>
        <w:t>8、单位负责人为同一人或者存在直接控股、管理关系的不同投标人，不得参加同一合同项下的政府采购活动。：单位负责人为同一人或者存在直接控股、管理关系的不同投标人，不得参加同一合同项下的政府采购活动。注：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西安市浐灞第十学校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西安市未央区启源二路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田鹏宇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029-86632612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陕西省西安市高新区太白南路181号A座A区501室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李敏、徐小宁、张波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029-88228899-647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西安浐灞国际港财政金融局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侯老师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029-83521198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采购包1：1,202,639.49元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代理服务费收费标准：1、交费金额参照国家计委颁布的《招标代理服务收费管理暂行办法》（计价格【2002】1980号）及发改办价格【2003】857号中的规定计取。 2、缴费账户：开户名称：龙寰项目管理咨询有限公司，开户银行：平安银行西安高新路支行， 账号：30201278017781。</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西安市浐灞第十学校</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西安市浐灞第十学校</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西安市浐灞第十学校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联系人：李敏 徐小宁</w:t>
      </w:r>
    </w:p>
    <w:p>
      <w:pPr>
        <w:pStyle w:val="null3"/>
      </w:pPr>
      <w:r>
        <w:rPr>
          <w:rFonts w:ascii="仿宋_GB2312" w:hAnsi="仿宋_GB2312" w:cs="仿宋_GB2312" w:eastAsia="仿宋_GB2312"/>
        </w:rPr>
        <w:t>联系电话：029-88228899-647、640</w:t>
      </w:r>
    </w:p>
    <w:p>
      <w:pPr>
        <w:pStyle w:val="null3"/>
      </w:pPr>
      <w:r>
        <w:rPr>
          <w:rFonts w:ascii="仿宋_GB2312" w:hAnsi="仿宋_GB2312" w:cs="仿宋_GB2312" w:eastAsia="仿宋_GB2312"/>
        </w:rPr>
        <w:t>地址：西安市高新区太白南路181号A座A区501室招标四部</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1,202,639.49</w:t>
      </w:r>
    </w:p>
    <w:p>
      <w:pPr>
        <w:pStyle w:val="null3"/>
      </w:pPr>
      <w:r>
        <w:rPr>
          <w:rFonts w:ascii="仿宋_GB2312" w:hAnsi="仿宋_GB2312" w:cs="仿宋_GB2312" w:eastAsia="仿宋_GB2312"/>
        </w:rPr>
        <w:t>采购包最高限价（元）: 1,202,639.49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西安市浐灞第十学校教学楼文化建设项目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1,202,639.49</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标的名称：西安市浐灞第十学校教学楼文化建设项目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18"/>
              </w:rPr>
              <w:t>一、</w:t>
            </w:r>
            <w:r>
              <w:rPr>
                <w:rFonts w:ascii="仿宋_GB2312" w:hAnsi="仿宋_GB2312" w:cs="仿宋_GB2312" w:eastAsia="仿宋_GB2312"/>
                <w:sz w:val="18"/>
              </w:rPr>
              <w:t>工程内容和施工地点、计划工期</w:t>
            </w:r>
          </w:p>
          <w:p>
            <w:pPr>
              <w:pStyle w:val="null3"/>
              <w:jc w:val="both"/>
            </w:pPr>
            <w:r>
              <w:rPr>
                <w:rFonts w:ascii="仿宋_GB2312" w:hAnsi="仿宋_GB2312" w:cs="仿宋_GB2312" w:eastAsia="仿宋_GB2312"/>
                <w:sz w:val="18"/>
              </w:rPr>
              <w:t>(一)工程内容:学生阅读区建设、中学部活动区域改造提升及教学楼文化建设工程。</w:t>
            </w:r>
          </w:p>
          <w:p>
            <w:pPr>
              <w:pStyle w:val="null3"/>
              <w:jc w:val="both"/>
            </w:pPr>
            <w:r>
              <w:rPr>
                <w:rFonts w:ascii="仿宋_GB2312" w:hAnsi="仿宋_GB2312" w:cs="仿宋_GB2312" w:eastAsia="仿宋_GB2312"/>
                <w:sz w:val="18"/>
              </w:rPr>
              <w:t>(二)工程地点:西安市浐灞第十学校。</w:t>
            </w:r>
          </w:p>
          <w:p>
            <w:pPr>
              <w:pStyle w:val="null3"/>
              <w:jc w:val="both"/>
            </w:pPr>
            <w:r>
              <w:rPr>
                <w:rFonts w:ascii="仿宋_GB2312" w:hAnsi="仿宋_GB2312" w:cs="仿宋_GB2312" w:eastAsia="仿宋_GB2312"/>
                <w:sz w:val="18"/>
              </w:rPr>
              <w:t>(三)</w:t>
            </w:r>
            <w:r>
              <w:rPr>
                <w:rFonts w:ascii="仿宋_GB2312" w:hAnsi="仿宋_GB2312" w:cs="仿宋_GB2312" w:eastAsia="仿宋_GB2312"/>
                <w:sz w:val="18"/>
              </w:rPr>
              <w:t>计划工期</w:t>
            </w:r>
            <w:r>
              <w:rPr>
                <w:rFonts w:ascii="仿宋_GB2312" w:hAnsi="仿宋_GB2312" w:cs="仿宋_GB2312" w:eastAsia="仿宋_GB2312"/>
                <w:sz w:val="18"/>
              </w:rPr>
              <w:t>:自进场之日起30个日历日内竣工。</w:t>
            </w:r>
          </w:p>
          <w:p>
            <w:pPr>
              <w:pStyle w:val="null3"/>
              <w:jc w:val="both"/>
            </w:pPr>
            <w:r>
              <w:rPr>
                <w:rFonts w:ascii="仿宋_GB2312" w:hAnsi="仿宋_GB2312" w:cs="仿宋_GB2312" w:eastAsia="仿宋_GB2312"/>
                <w:sz w:val="18"/>
              </w:rPr>
              <w:t>(四)缺陷责任期:1年。</w:t>
            </w:r>
          </w:p>
          <w:p>
            <w:pPr>
              <w:pStyle w:val="null3"/>
              <w:jc w:val="both"/>
            </w:pPr>
            <w:r>
              <w:rPr>
                <w:rFonts w:ascii="仿宋_GB2312" w:hAnsi="仿宋_GB2312" w:cs="仿宋_GB2312" w:eastAsia="仿宋_GB2312"/>
                <w:sz w:val="18"/>
              </w:rPr>
              <w:t>(五)质量保修期:1年。</w:t>
            </w:r>
          </w:p>
          <w:p>
            <w:pPr>
              <w:pStyle w:val="null3"/>
              <w:jc w:val="both"/>
            </w:pPr>
            <w:r>
              <w:rPr>
                <w:rFonts w:ascii="仿宋_GB2312" w:hAnsi="仿宋_GB2312" w:cs="仿宋_GB2312" w:eastAsia="仿宋_GB2312"/>
                <w:sz w:val="18"/>
              </w:rPr>
              <w:t>二</w:t>
            </w:r>
            <w:r>
              <w:rPr>
                <w:rFonts w:ascii="仿宋_GB2312" w:hAnsi="仿宋_GB2312" w:cs="仿宋_GB2312" w:eastAsia="仿宋_GB2312"/>
                <w:sz w:val="18"/>
              </w:rPr>
              <w:t>、工程量清单和计价依据</w:t>
            </w:r>
          </w:p>
          <w:p>
            <w:pPr>
              <w:pStyle w:val="null3"/>
              <w:jc w:val="both"/>
            </w:pPr>
            <w:r>
              <w:rPr>
                <w:rFonts w:ascii="仿宋_GB2312" w:hAnsi="仿宋_GB2312" w:cs="仿宋_GB2312" w:eastAsia="仿宋_GB2312"/>
                <w:sz w:val="18"/>
              </w:rPr>
              <w:t>1.执行《建设工程工程量清单计价规范》(GB50500-2008)、陕西省建设工程工程量清单计价规则》(2009)及相关配套文件;</w:t>
            </w:r>
          </w:p>
          <w:p>
            <w:pPr>
              <w:pStyle w:val="null3"/>
              <w:jc w:val="both"/>
            </w:pPr>
            <w:r>
              <w:rPr>
                <w:rFonts w:ascii="仿宋_GB2312" w:hAnsi="仿宋_GB2312" w:cs="仿宋_GB2312" w:eastAsia="仿宋_GB2312"/>
                <w:sz w:val="18"/>
              </w:rPr>
              <w:t>2.采用《陕西省建筑、装饰、市政、安装工程消耗量定额》(2004)及相应价目表、费率标准;</w:t>
            </w:r>
          </w:p>
          <w:p>
            <w:pPr>
              <w:pStyle w:val="null3"/>
              <w:jc w:val="both"/>
            </w:pPr>
            <w:r>
              <w:rPr>
                <w:rFonts w:ascii="仿宋_GB2312" w:hAnsi="仿宋_GB2312" w:cs="仿宋_GB2312" w:eastAsia="仿宋_GB2312"/>
                <w:sz w:val="18"/>
              </w:rPr>
              <w:t>3.安全生产责任险、扬尘治理费、建筑工人实名制管理、税率调整等按陕西省住建厅发布的最新相关计价文件执行;</w:t>
            </w:r>
          </w:p>
          <w:p>
            <w:pPr>
              <w:pStyle w:val="null3"/>
              <w:jc w:val="both"/>
            </w:pPr>
            <w:r>
              <w:rPr>
                <w:rFonts w:ascii="仿宋_GB2312" w:hAnsi="仿宋_GB2312" w:cs="仿宋_GB2312" w:eastAsia="仿宋_GB2312"/>
                <w:sz w:val="18"/>
              </w:rPr>
              <w:t>4.与本工程相关的标准、规范、技术资料及正常施工组织设计。</w:t>
            </w:r>
          </w:p>
          <w:p>
            <w:pPr>
              <w:pStyle w:val="null3"/>
              <w:jc w:val="both"/>
            </w:pPr>
            <w:r>
              <w:rPr>
                <w:rFonts w:ascii="仿宋_GB2312" w:hAnsi="仿宋_GB2312" w:cs="仿宋_GB2312" w:eastAsia="仿宋_GB2312"/>
                <w:sz w:val="18"/>
              </w:rPr>
              <w:t>三</w:t>
            </w:r>
            <w:r>
              <w:rPr>
                <w:rFonts w:ascii="仿宋_GB2312" w:hAnsi="仿宋_GB2312" w:cs="仿宋_GB2312" w:eastAsia="仿宋_GB2312"/>
                <w:sz w:val="18"/>
              </w:rPr>
              <w:t>、施工要求</w:t>
            </w:r>
          </w:p>
          <w:p>
            <w:pPr>
              <w:pStyle w:val="null3"/>
              <w:jc w:val="both"/>
            </w:pPr>
            <w:r>
              <w:rPr>
                <w:rFonts w:ascii="仿宋_GB2312" w:hAnsi="仿宋_GB2312" w:cs="仿宋_GB2312" w:eastAsia="仿宋_GB2312"/>
                <w:sz w:val="18"/>
              </w:rPr>
              <w:t>在施工期间，中标供应商必须注意校内人员安全，加强安全措施并对施工人员进行安全教育。施工人员应做好安全防护措施，并做好登记记录。施工人员必须持证上岗。因采购人工作的特殊性，中标供应商在施工中做到封闭性施工。施工位置户外使用铁皮围挡，室内位置进行封闭围挡，确保学生不能进入，保障学生安全。</w:t>
            </w:r>
          </w:p>
          <w:p>
            <w:pPr>
              <w:pStyle w:val="null3"/>
              <w:jc w:val="both"/>
            </w:pPr>
            <w:r>
              <w:rPr>
                <w:rFonts w:ascii="仿宋_GB2312" w:hAnsi="仿宋_GB2312" w:cs="仿宋_GB2312" w:eastAsia="仿宋_GB2312"/>
                <w:sz w:val="18"/>
              </w:rPr>
              <w:t>四、</w:t>
            </w:r>
            <w:r>
              <w:rPr>
                <w:rFonts w:ascii="仿宋_GB2312" w:hAnsi="仿宋_GB2312" w:cs="仿宋_GB2312" w:eastAsia="仿宋_GB2312"/>
                <w:sz w:val="18"/>
              </w:rPr>
              <w:t>其他</w:t>
            </w:r>
          </w:p>
          <w:p>
            <w:pPr>
              <w:pStyle w:val="null3"/>
              <w:jc w:val="both"/>
            </w:pPr>
            <w:r>
              <w:rPr>
                <w:rFonts w:ascii="仿宋_GB2312" w:hAnsi="仿宋_GB2312" w:cs="仿宋_GB2312" w:eastAsia="仿宋_GB2312"/>
                <w:sz w:val="18"/>
              </w:rPr>
              <w:t>(一)质量验收标准或规范</w:t>
            </w:r>
          </w:p>
          <w:p>
            <w:pPr>
              <w:pStyle w:val="null3"/>
              <w:jc w:val="both"/>
            </w:pPr>
            <w:r>
              <w:rPr>
                <w:rFonts w:ascii="仿宋_GB2312" w:hAnsi="仿宋_GB2312" w:cs="仿宋_GB2312" w:eastAsia="仿宋_GB2312"/>
                <w:sz w:val="18"/>
              </w:rPr>
              <w:t>1、《建筑装饰装修工程施工质量验收规范》(GB50210-2014)</w:t>
            </w:r>
          </w:p>
          <w:p>
            <w:pPr>
              <w:pStyle w:val="null3"/>
              <w:jc w:val="both"/>
            </w:pPr>
            <w:r>
              <w:rPr>
                <w:rFonts w:ascii="仿宋_GB2312" w:hAnsi="仿宋_GB2312" w:cs="仿宋_GB2312" w:eastAsia="仿宋_GB2312"/>
                <w:sz w:val="18"/>
              </w:rPr>
              <w:t>2、</w:t>
            </w:r>
            <w:r>
              <w:rPr>
                <w:rFonts w:ascii="仿宋_GB2312" w:hAnsi="仿宋_GB2312" w:cs="仿宋_GB2312" w:eastAsia="仿宋_GB2312"/>
                <w:sz w:val="18"/>
              </w:rPr>
              <w:t>《工程建设标准强制性条文》</w:t>
            </w:r>
            <w:r>
              <w:rPr>
                <w:rFonts w:ascii="仿宋_GB2312" w:hAnsi="仿宋_GB2312" w:cs="仿宋_GB2312" w:eastAsia="仿宋_GB2312"/>
                <w:sz w:val="18"/>
              </w:rPr>
              <w:t>(房屋建筑部分)2013版</w:t>
            </w:r>
          </w:p>
          <w:p>
            <w:pPr>
              <w:pStyle w:val="null3"/>
              <w:jc w:val="both"/>
            </w:pPr>
            <w:r>
              <w:rPr>
                <w:rFonts w:ascii="仿宋_GB2312" w:hAnsi="仿宋_GB2312" w:cs="仿宋_GB2312" w:eastAsia="仿宋_GB2312"/>
                <w:sz w:val="18"/>
              </w:rPr>
              <w:t>3、</w:t>
            </w:r>
            <w:r>
              <w:rPr>
                <w:rFonts w:ascii="仿宋_GB2312" w:hAnsi="仿宋_GB2312" w:cs="仿宋_GB2312" w:eastAsia="仿宋_GB2312"/>
                <w:sz w:val="18"/>
              </w:rPr>
              <w:t>《建筑工程质量验收统一标准》</w:t>
            </w:r>
            <w:r>
              <w:rPr>
                <w:rFonts w:ascii="仿宋_GB2312" w:hAnsi="仿宋_GB2312" w:cs="仿宋_GB2312" w:eastAsia="仿宋_GB2312"/>
                <w:sz w:val="18"/>
              </w:rPr>
              <w:t>(GB50300-2013)</w:t>
            </w:r>
          </w:p>
          <w:p>
            <w:pPr>
              <w:pStyle w:val="null3"/>
              <w:jc w:val="both"/>
            </w:pPr>
            <w:r>
              <w:rPr>
                <w:rFonts w:ascii="仿宋_GB2312" w:hAnsi="仿宋_GB2312" w:cs="仿宋_GB2312" w:eastAsia="仿宋_GB2312"/>
                <w:sz w:val="18"/>
              </w:rPr>
              <w:t>4、</w:t>
            </w:r>
            <w:r>
              <w:rPr>
                <w:rFonts w:ascii="仿宋_GB2312" w:hAnsi="仿宋_GB2312" w:cs="仿宋_GB2312" w:eastAsia="仿宋_GB2312"/>
                <w:sz w:val="18"/>
              </w:rPr>
              <w:t>《建筑安装工程质量检验评定标准》</w:t>
            </w:r>
            <w:r>
              <w:rPr>
                <w:rFonts w:ascii="仿宋_GB2312" w:hAnsi="仿宋_GB2312" w:cs="仿宋_GB2312" w:eastAsia="仿宋_GB2312"/>
                <w:sz w:val="18"/>
              </w:rPr>
              <w:t>(GBJ301-88)</w:t>
            </w:r>
          </w:p>
          <w:p>
            <w:pPr>
              <w:pStyle w:val="null3"/>
              <w:jc w:val="both"/>
            </w:pPr>
            <w:r>
              <w:rPr>
                <w:rFonts w:ascii="仿宋_GB2312" w:hAnsi="仿宋_GB2312" w:cs="仿宋_GB2312" w:eastAsia="仿宋_GB2312"/>
                <w:sz w:val="18"/>
              </w:rPr>
              <w:t>5、</w:t>
            </w:r>
            <w:r>
              <w:rPr>
                <w:rFonts w:ascii="仿宋_GB2312" w:hAnsi="仿宋_GB2312" w:cs="仿宋_GB2312" w:eastAsia="仿宋_GB2312"/>
                <w:sz w:val="18"/>
              </w:rPr>
              <w:t>《建筑地面工程施工质量验收规范》</w:t>
            </w:r>
            <w:r>
              <w:rPr>
                <w:rFonts w:ascii="仿宋_GB2312" w:hAnsi="仿宋_GB2312" w:cs="仿宋_GB2312" w:eastAsia="仿宋_GB2312"/>
                <w:sz w:val="18"/>
              </w:rPr>
              <w:t>(GB50209-2010)</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18"/>
                <w:b/>
              </w:rPr>
              <w:t>计划工期</w:t>
            </w:r>
            <w:r>
              <w:rPr>
                <w:rFonts w:ascii="仿宋_GB2312" w:hAnsi="仿宋_GB2312" w:cs="仿宋_GB2312" w:eastAsia="仿宋_GB2312"/>
                <w:sz w:val="18"/>
                <w:b/>
              </w:rPr>
              <w:t>:自进场之日起30个日历日内竣工。</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符合国家及行业验收合格相关标准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1、采购标的对应的中小企业划分标准所属行业为建筑业。建筑业的划型标准为：营业收入80000万元以下或资产总额80000万元以下的为中小微型企业。其中，营业收入6000万元及以上，且资产总额 5000万元及以上的为中型企业；营业收入300万元及以上，且资产总额300万元及以上的为小型企业；营业收入300万元以下或资产总额300万元以下的为微型企业。 2、需要落实的政府采购政策：1）《国务院办公厅关于建立政府强制采购节能产品制度的通知》（国办发〔2007〕51号）；2）《财政部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财务状况报告：提供具有财务审计资质单位出具的2024年度财务报告；或开标前六个月内其基本账户银行出具的资信证明；或政府采购信用担保机构出具的担保函；2.税收缴纳证明：提供截止至开标时间前六个月内任意一个月的缴纳凭据；（依法免税的供应商应提供相关文件证明） 3.社会保障资金缴纳证明：提供截止至开标时间前六个月内任意一个月的社保缴纳凭据或社保机构开具的社会保险参保缴纳情况证明；（依法不需要缴纳社会保障资金的供应商应提供相关证明） 4.提供具有履行本合同所必需的设备和专业技术能力的承诺函（加盖供应商公章）；5.提供参加政府采购活动前三年内在经营活动中没有重大违法记录的书面声明（加盖供应商公章）。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证书等级：具备注册二级及以上建造师资格（电子化证书与纸质证书具有同等效力） 专业：建筑工程专业 补充说明：同时具有有效的安全生产考核合格证（安全考核B证），在本单位注册且无在建工程（提供承诺书）；</w:t>
            </w:r>
          </w:p>
        </w:tc>
        <w:tc>
          <w:tcPr>
            <w:tcW w:type="dxa" w:w="1661"/>
          </w:tcPr>
          <w:p>
            <w:pPr>
              <w:pStyle w:val="null3"/>
            </w:pPr>
            <w:r>
              <w:rPr>
                <w:rFonts w:ascii="仿宋_GB2312" w:hAnsi="仿宋_GB2312" w:cs="仿宋_GB2312" w:eastAsia="仿宋_GB2312"/>
              </w:rPr>
              <w:t>项目管理机构组成表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法人或者其他组织的营业执照等证明文件，自然人的身份证明。</w:t>
            </w:r>
          </w:p>
        </w:tc>
        <w:tc>
          <w:tcPr>
            <w:tcW w:type="dxa" w:w="3322"/>
          </w:tcPr>
          <w:p>
            <w:pPr>
              <w:pStyle w:val="null3"/>
            </w:pPr>
            <w:r>
              <w:rPr>
                <w:rFonts w:ascii="仿宋_GB2312" w:hAnsi="仿宋_GB2312" w:cs="仿宋_GB2312" w:eastAsia="仿宋_GB2312"/>
              </w:rPr>
              <w:t>供应商应是独立承担民事责任能力的法人、其 他组织或自然人，法人、其他组织须提供合法 有效的营业执照（或事业单位法人证书）等证 明资料， 自然人须提供身份证明。注：供应商需在项目电子化交易系统中按要求上传相应证明文件并进行电子签章。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或单位负责人参加投标的，应提供法定代表人或单位负责人身份证明。授权代表参加投标的，应提供法定代表人或单位负责人身份证明、授权委托书及授权代表在本单位近一年内任意时段缴纳社保的证明。</w:t>
            </w:r>
          </w:p>
        </w:tc>
        <w:tc>
          <w:tcPr>
            <w:tcW w:type="dxa" w:w="3322"/>
          </w:tcPr>
          <w:p>
            <w:pPr>
              <w:pStyle w:val="null3"/>
            </w:pPr>
            <w:r>
              <w:rPr>
                <w:rFonts w:ascii="仿宋_GB2312" w:hAnsi="仿宋_GB2312" w:cs="仿宋_GB2312" w:eastAsia="仿宋_GB2312"/>
              </w:rPr>
              <w:t>法定代表人或单位负责人参加投标的，应提供法定代表人或单位负责人身份证明。授权代表参加投标的，应提供法定代表人或单位负责人身份证明、授权委托书及授权代表在本单位近一年内任意时段缴纳社保的证明。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法定代表人（单位负责人自然人）身份证明.docx 授权委托书.docx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具备建筑工程施工总承包三级及以上资质,同时具有有效的安全生产许可证。注：供应商需在项目电子化交易系统中按要求上传相应证明文件并进行电子签章。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供应商基本信息及项目经理的基本信息在“陕西省住房和城乡建设厅”（https://js.shaanxi.gov.cn/）或全国建筑市场监管公共服务平台（https://jzsc.mohurd.gov.cn/）可查询；</w:t>
            </w:r>
          </w:p>
        </w:tc>
        <w:tc>
          <w:tcPr>
            <w:tcW w:type="dxa" w:w="3322"/>
          </w:tcPr>
          <w:p>
            <w:pPr>
              <w:pStyle w:val="null3"/>
            </w:pPr>
            <w:r>
              <w:rPr>
                <w:rFonts w:ascii="仿宋_GB2312" w:hAnsi="仿宋_GB2312" w:cs="仿宋_GB2312" w:eastAsia="仿宋_GB2312"/>
              </w:rPr>
              <w:t>供应商基本信息及项目经理的基本信息在“陕西省住房和城乡建设厅”（https://js.shaanxi.gov.cn/）或全国建筑市场监管公共服务平台（https://jzsc.mohurd.gov.cn/）可查询；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中国执行信息公开网”网站中列入失信被执行人和“信用中国”网站中列入重大税收违法失信主体的供应商，不得为“中国政府采购网”政府采购严重违法失信行为记录名单中被财政部门禁止参加政府采购活动的供应商；采购代理机构于投标截止日在网站的查询结果为准，如相关信用记录已失效，需提供相关证明资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本项目专门面向中小企业采购（残疾人福利性单位、监狱企业视同小型、微型企业）</w:t>
            </w:r>
          </w:p>
        </w:tc>
        <w:tc>
          <w:tcPr>
            <w:tcW w:type="dxa" w:w="3322"/>
          </w:tcPr>
          <w:p>
            <w:pPr>
              <w:pStyle w:val="null3"/>
            </w:pPr>
            <w:r>
              <w:rPr>
                <w:rFonts w:ascii="仿宋_GB2312" w:hAnsi="仿宋_GB2312" w:cs="仿宋_GB2312" w:eastAsia="仿宋_GB2312"/>
              </w:rPr>
              <w:t>本项目专门面向中小企业采购（残疾人福利性单位、监狱企业视同小型、微型企业），供应商需提供《中小企业声明函》（监狱企业的证明文件或《残疾人福利性单位声明函》）。 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磋商响应报价表.docx 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内容无重大缺漏项，报价唯一，且没有超过采购预算及最高限价。</w:t>
            </w:r>
          </w:p>
        </w:tc>
        <w:tc>
          <w:tcPr>
            <w:tcW w:type="dxa" w:w="1661"/>
          </w:tcPr>
          <w:p>
            <w:pPr>
              <w:pStyle w:val="null3"/>
            </w:pPr>
            <w:r>
              <w:rPr>
                <w:rFonts w:ascii="仿宋_GB2312" w:hAnsi="仿宋_GB2312" w:cs="仿宋_GB2312" w:eastAsia="仿宋_GB2312"/>
              </w:rPr>
              <w:t>响应文件封面 磋商响应报价表.docx 已标价工程量清单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计划工期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磋商响应报价表.docx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签字、盖章符合磋商文件要求。</w:t>
            </w:r>
          </w:p>
        </w:tc>
        <w:tc>
          <w:tcPr>
            <w:tcW w:type="dxa" w:w="1661"/>
          </w:tcPr>
          <w:p>
            <w:pPr>
              <w:pStyle w:val="null3"/>
            </w:pPr>
            <w:r>
              <w:rPr>
                <w:rFonts w:ascii="仿宋_GB2312" w:hAnsi="仿宋_GB2312" w:cs="仿宋_GB2312" w:eastAsia="仿宋_GB2312"/>
              </w:rPr>
              <w:t>已标价工程量清单 技术响应部分.docx 中小企业声明函 授权委托书.docx 技术商务偏离表.docx 资格证明文件.docx 磋商响应报价表.docx 响应文件封面 项目管理机构组成表 法定代表人（单位负责人自然人）身份证明.docx 残疾人福利性单位声明函 供应商类似项目业绩一览表 其他材料.docx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评审因素：①施工目标:成本目标、工期目标、质量目标；②施工准备：技术准备、材料准备、机械准备、机具准备；③施工平面布置与安排：现场围挡及收入口管理、消防及道路安排。 评审标准：以上内容每项5分，按如下标准赋分： 方案全面、合理、规范，可操作性强得5分；方案相对合理和规范，有相对较强的可操作性得4分；方案相对合理，有一定的可操作性得3分；方案相对合理，可操作性缺乏得2分；方案简单、不完整得1分；未提供或不符合项目要求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评审因素：制定详细的施工方案、方法与技术措施， 符合行业规范及行业标准。 评审标准：措施全面、合理、规范，可操作性强得5分； 措施相对合理和规范，有相对较强的可操作性得4分； 措施相对合理，有一定的可操作性得3分； 措施相对合理，可操作性缺乏得2分； 措施简单、不完整得1分；未提供或不符合项目要求不得分。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评审因素：根据供应商提供的材料与设备质量控制、施工技术准备、施工过程质量监控、技术创新与工艺优化措施等，由磋商小组进行综合评审。 评审标准：措施全面、合理、规范，可操作性强得5分； 措施相对合理和规范，有相对较强的可操作性得4分； 措施相对合理，有一定的可操作性得3分； 措施相对合理，可操作性缺乏得2分； 措施简单、不完整得1分；未提供或不符合项目要求不得分。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评审因素： 根据供应商提供的安全防护设施规范设置、机械设备安全管理、责任体系与管理制度措施等，由磋商小组进行综合评审。 评审标准：方案全面、合理、规范，可操作性强得5分；方案相对合理和规范，有相对较强的可操作性得4分；方案相对合理，有一定的可操作性得3分；方案相对合理，可操作性缺乏得2分；方案简单、不完整得1分；未提供或不符合项目要求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评审因素： 根据供应商提供的工期目标规划、施工总进度计划、进度计划实施工具方案等，由磋商小组进行综合评审。 评审标准：方案全面、合理、规范，可操作性强得5分；方案相对合理和规范，有相对较强的可操作性得4分；方案相对合理，有一定的可操作性得3分；方案相对合理，可操作性缺乏得2分；方案简单、不完整得1分；未提供或不符合项目要求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评审因素：根据供应商提供的管理体系构建、场容场貌标准化、扬尘污染控制、噪声与振动管控措施等，由磋商小组进行综合评审。 评审标准：措施全面、合理、规范，可操作性强得5分； 措施相对合理和规范，有相对较强的可操作性得4分； 措施相对合理，有一定的可操作性得3分； 措施相对合理，可操作性缺乏得2分； 措施简单、不完整得1分；未提供或不符合项目要求不得分。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评审因素：供应商提供的项目人员情况进行评审如项目经理、技术负责人、施工员、资料员等人员配备方案由磋商小组进行综合评审。 评审标准：方案全面、合理、规范，可操作性强得5分；方案相对合理和规范，有相对较强的可操作性得4分；方案相对合理，有一定的可操作性得3分；方案相对合理，可操作性缺乏得2分；方案简单、不完整得1分；未提供或不符合项目要求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主要机具、设备和劳动力配备方案</w:t>
            </w:r>
          </w:p>
        </w:tc>
        <w:tc>
          <w:tcPr>
            <w:tcW w:type="dxa" w:w="2492"/>
          </w:tcPr>
          <w:p>
            <w:pPr>
              <w:pStyle w:val="null3"/>
            </w:pPr>
            <w:r>
              <w:rPr>
                <w:rFonts w:ascii="仿宋_GB2312" w:hAnsi="仿宋_GB2312" w:cs="仿宋_GB2312" w:eastAsia="仿宋_GB2312"/>
              </w:rPr>
              <w:t>评审因素：根据供应商提供的主要机械设备配备、劳动力配置、联动保障机制方案等，由磋商小组进行综合评审。 评审标准：方案全面、合理、规范，可操作性强得5分；方案相对合理和规范，有相对较强的可操作性得4分；方案相对合理，有一定的可操作性得3分；方案相对合理，可操作性缺乏得2分；方案简单、不完整得1分；未提供或不符合项目要求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施工重难点分析</w:t>
            </w:r>
          </w:p>
        </w:tc>
        <w:tc>
          <w:tcPr>
            <w:tcW w:type="dxa" w:w="2492"/>
          </w:tcPr>
          <w:p>
            <w:pPr>
              <w:pStyle w:val="null3"/>
            </w:pPr>
            <w:r>
              <w:rPr>
                <w:rFonts w:ascii="仿宋_GB2312" w:hAnsi="仿宋_GB2312" w:cs="仿宋_GB2312" w:eastAsia="仿宋_GB2312"/>
              </w:rPr>
              <w:t>评审因素：根据供应商提供的施工重难点分析方案等，由磋商小组进行综合评审。 评审标准：方案全面、合理、规范，可操作性强得5分；方案相对合理和规范，有相对较强的可操作性得4分；方案相对合理，有一定的可操作性得3分；方案相对合理，可操作性缺乏得2分；方案简单、不完整得1分；未提供或不符合项目要求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评审因素：根据供应商提供的质量提升技术、工期缩短技术、成本降低技术、联动增效机制方案等，由磋商小组进行综合评审。 评审标准：方案全面、合理、规范，可操作性强得5分；方案相对合理和规范，有相对较强的可操作性得4分；方案相对合理，有一定的可操作性得3分；方案相对合理，可操作性缺乏得2分；方案简单、不完整得1分；未提供或不符合项目要求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评审因素：根据供应商针对突发事件应急保障措施及迎检方案的可行性（包含恶劣天气影响、自然灾害等特殊情况制定应急处置方案等） 评审标准：方案全面、合理、规范，可操作性强得5分；方案相对合理和规范，有相对较强的可操作性得4分；方案相对合理，有一定的可操作性得3分；方案相对合理，可操作性缺乏得2分；方案简单、不完整得1分；未提供或不符合项目要求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提供2022年01月01日以来类似项目业绩合同（以合同签订时间为准），每份计1分，满分5分。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技术响应部分.docx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满足磋商文件实质性要求且最终报价最低的供应商的价格为磋商基准价，其价格分为满分30分。 磋商报价得分=（磋商基准价/最终磋商报价）×30。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详见附件：磋商响应报价表.docx</w:t>
      </w:r>
    </w:p>
    <w:p>
      <w:pPr>
        <w:pStyle w:val="null3"/>
        <w:ind w:firstLine="960"/>
      </w:pPr>
      <w:r>
        <w:rPr>
          <w:rFonts w:ascii="仿宋_GB2312" w:hAnsi="仿宋_GB2312" w:cs="仿宋_GB2312" w:eastAsia="仿宋_GB2312"/>
        </w:rPr>
        <w:t>详见附件：法定代表人（单位负责人自然人）身份证明.docx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详见附件：技术响应部分.docx</w:t>
      </w:r>
    </w:p>
    <w:p>
      <w:pPr>
        <w:pStyle w:val="null3"/>
        <w:ind w:firstLine="960"/>
      </w:pPr>
      <w:r>
        <w:rPr>
          <w:rFonts w:ascii="仿宋_GB2312" w:hAnsi="仿宋_GB2312" w:cs="仿宋_GB2312" w:eastAsia="仿宋_GB2312"/>
        </w:rPr>
        <w:t>详见附件：技术商务偏离表.docx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详见附件：其他材料.docx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