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版本号：LZBD2025-194420251119001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2025-2026学年浐灞国际港（南片区）中小学生健康体检项目(二次)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LZBD2025-1944</w:t>
      </w:r>
      <w:r>
        <w:br/>
      </w:r>
      <w:r>
        <w:br/>
      </w:r>
      <w:r>
        <w:br/>
      </w:r>
    </w:p>
    <w:p>
      <w:pPr>
        <w:pStyle w:val="null3"/>
        <w:jc w:val="center"/>
        <w:outlineLvl w:val="2"/>
      </w:pPr>
      <w:r>
        <w:rPr>
          <w:rFonts w:ascii="仿宋_GB2312" w:hAnsi="仿宋_GB2312" w:cs="仿宋_GB2312" w:eastAsia="仿宋_GB2312"/>
          <w:sz w:val="28"/>
          <w:b/>
        </w:rPr>
        <w:t>西安浐灞国际港教育局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西安浐灞国际港教育局</w:t>
      </w:r>
      <w:r>
        <w:rPr>
          <w:rFonts w:ascii="仿宋_GB2312" w:hAnsi="仿宋_GB2312" w:cs="仿宋_GB2312" w:eastAsia="仿宋_GB2312"/>
        </w:rPr>
        <w:t>委托，拟对</w:t>
      </w:r>
      <w:r>
        <w:rPr>
          <w:rFonts w:ascii="仿宋_GB2312" w:hAnsi="仿宋_GB2312" w:cs="仿宋_GB2312" w:eastAsia="仿宋_GB2312"/>
        </w:rPr>
        <w:t>2025-2026学年浐灞国际港（南片区）中小学生健康体检项目(二次)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LZBD2025-1944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2025-2026学年浐灞国际港（南片区）中小学生健康体检项目(二次)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中小学生健康体检管理办法（2021年版）》及《关于进一步加强中小学生健康体检工作的意见》要求，教育行政部门要组织辖区内中小学校每年开展一次在校学生健康体检工作，拟采购一家医疗机构，统一组织开展2025-2026学年度我区（南片区）中小学生健康体检工作。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rFonts w:ascii="仿宋_GB2312" w:hAnsi="仿宋_GB2312" w:cs="仿宋_GB2312" w:eastAsia="仿宋_GB2312"/>
        </w:rPr>
        <w:t>2、企业资质：供应商具有卫生行政部门颁发的《医疗机构执业许可证》。注：供应商需在项目电子化交易系统中按要求上传相应证明文件并进行电子签章。</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王花婷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029-83592242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采购包1：1,967,140.00元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按预算金额计取，采用差额定律累进法计算。2、缴费账户：开户名称：龙寰项目管理咨询有限公司，开户银行：平安银行西安高新路支行， 账号：30201278017726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西安浐灞国际港教育局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中小学生健康体检管理办法（2021年版）》及《关于进一步加强中小学生健康体检工作的意见》要求，教育行政部门要组织辖区内中小学校每年开展一次在校学生健康体检工作，拟采购一家医疗机构，统一组织开展2025-2026学年度我区（南片区）中小学生健康体检工作。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1,967,140.00</w:t>
      </w:r>
    </w:p>
    <w:p>
      <w:pPr>
        <w:pStyle w:val="null3"/>
      </w:pPr>
      <w:r>
        <w:rPr>
          <w:rFonts w:ascii="仿宋_GB2312" w:hAnsi="仿宋_GB2312" w:cs="仿宋_GB2312" w:eastAsia="仿宋_GB2312"/>
        </w:rPr>
        <w:t>采购包最高限价（元）: 1,967,140.00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2025-2026学年浐灞国际港（南片区）中小学生健康体检项目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1,967,140.00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标的名称：2025-2026学年浐灞国际港（南片区）中小学生健康体检项目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服务内容</w:t>
            </w:r>
            <w:r>
              <w:rPr>
                <w:rFonts w:ascii="仿宋_GB2312" w:hAnsi="仿宋_GB2312" w:cs="仿宋_GB2312" w:eastAsia="仿宋_GB2312"/>
                <w:sz w:val="21"/>
              </w:rPr>
              <w:t>：</w:t>
            </w:r>
            <w:r>
              <w:rPr>
                <w:rFonts w:ascii="仿宋_GB2312" w:hAnsi="仿宋_GB2312" w:cs="仿宋_GB2312" w:eastAsia="仿宋_GB2312"/>
                <w:sz w:val="21"/>
              </w:rPr>
              <w:t>学生健康体检项目应包含以下内容：</w:t>
            </w:r>
          </w:p>
          <w:p>
            <w:pPr>
              <w:pStyle w:val="null3"/>
              <w:jc w:val="both"/>
            </w:pPr>
            <w:r>
              <w:rPr>
                <w:rFonts w:ascii="仿宋_GB2312" w:hAnsi="仿宋_GB2312" w:cs="仿宋_GB2312" w:eastAsia="仿宋_GB2312"/>
                <w:sz w:val="21"/>
              </w:rPr>
              <w:t>（一）询问既往疾病史</w:t>
            </w:r>
          </w:p>
          <w:p>
            <w:pPr>
              <w:pStyle w:val="null3"/>
              <w:jc w:val="both"/>
            </w:pPr>
            <w:r>
              <w:rPr>
                <w:rFonts w:ascii="仿宋_GB2312" w:hAnsi="仿宋_GB2312" w:cs="仿宋_GB2312" w:eastAsia="仿宋_GB2312"/>
                <w:sz w:val="21"/>
              </w:rPr>
              <w:t>（二）体检项目</w:t>
            </w:r>
          </w:p>
          <w:p>
            <w:pPr>
              <w:pStyle w:val="null3"/>
              <w:jc w:val="both"/>
            </w:pPr>
            <w:r>
              <w:rPr>
                <w:rFonts w:ascii="仿宋_GB2312" w:hAnsi="仿宋_GB2312" w:cs="仿宋_GB2312" w:eastAsia="仿宋_GB2312"/>
                <w:sz w:val="21"/>
              </w:rPr>
              <w:t>形体指标检查：身高、体重、腰围、臀围；</w:t>
            </w:r>
          </w:p>
          <w:p>
            <w:pPr>
              <w:pStyle w:val="null3"/>
              <w:jc w:val="both"/>
            </w:pPr>
            <w:r>
              <w:rPr>
                <w:rFonts w:ascii="仿宋_GB2312" w:hAnsi="仿宋_GB2312" w:cs="仿宋_GB2312" w:eastAsia="仿宋_GB2312"/>
                <w:sz w:val="21"/>
              </w:rPr>
              <w:t>内科常规检查：心、肺、肝、脾，血压，肺活量；</w:t>
            </w:r>
          </w:p>
          <w:p>
            <w:pPr>
              <w:pStyle w:val="null3"/>
              <w:jc w:val="both"/>
            </w:pPr>
            <w:r>
              <w:rPr>
                <w:rFonts w:ascii="仿宋_GB2312" w:hAnsi="仿宋_GB2312" w:cs="仿宋_GB2312" w:eastAsia="仿宋_GB2312"/>
                <w:sz w:val="21"/>
              </w:rPr>
              <w:t>外科检查：头部、颈部、胸部、脊柱、四肢、皮肤、淋巴结；</w:t>
            </w:r>
          </w:p>
          <w:p>
            <w:pPr>
              <w:pStyle w:val="null3"/>
              <w:jc w:val="both"/>
            </w:pPr>
            <w:r>
              <w:rPr>
                <w:rFonts w:ascii="仿宋_GB2312" w:hAnsi="仿宋_GB2312" w:cs="仿宋_GB2312" w:eastAsia="仿宋_GB2312"/>
                <w:sz w:val="21"/>
              </w:rPr>
              <w:t>耳鼻喉科检查：听力、外耳道与鼓膜、外鼻、嗅觉、扁桃体；</w:t>
            </w:r>
          </w:p>
          <w:p>
            <w:pPr>
              <w:pStyle w:val="null3"/>
              <w:jc w:val="both"/>
            </w:pPr>
            <w:r>
              <w:rPr>
                <w:rFonts w:ascii="仿宋_GB2312" w:hAnsi="仿宋_GB2312" w:cs="仿宋_GB2312" w:eastAsia="仿宋_GB2312"/>
                <w:sz w:val="21"/>
              </w:rPr>
              <w:t>眼科检查：眼外观、远视力、屈光度；</w:t>
            </w:r>
          </w:p>
          <w:p>
            <w:pPr>
              <w:pStyle w:val="null3"/>
              <w:jc w:val="both"/>
            </w:pPr>
            <w:r>
              <w:rPr>
                <w:rFonts w:ascii="仿宋_GB2312" w:hAnsi="仿宋_GB2312" w:cs="仿宋_GB2312" w:eastAsia="仿宋_GB2312"/>
                <w:sz w:val="21"/>
              </w:rPr>
              <w:t>口腔科检查：牙齿、牙周；</w:t>
            </w:r>
          </w:p>
          <w:p>
            <w:pPr>
              <w:pStyle w:val="null3"/>
              <w:jc w:val="both"/>
            </w:pPr>
            <w:r>
              <w:rPr>
                <w:rFonts w:ascii="仿宋_GB2312" w:hAnsi="仿宋_GB2312" w:cs="仿宋_GB2312" w:eastAsia="仿宋_GB2312"/>
                <w:sz w:val="21"/>
              </w:rPr>
              <w:t>实验室检查：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1）血常规；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2）丙氨酸氨基转移酶；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3）结核分枝杆菌感染检测。</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（一）健康体检机构资质</w:t>
            </w:r>
          </w:p>
          <w:p>
            <w:pPr>
              <w:pStyle w:val="null3"/>
              <w:jc w:val="both"/>
            </w:pPr>
            <w:r>
              <w:rPr>
                <w:rFonts w:ascii="仿宋_GB2312" w:hAnsi="仿宋_GB2312" w:cs="仿宋_GB2312" w:eastAsia="仿宋_GB2312"/>
                <w:sz w:val="21"/>
              </w:rPr>
              <w:t>1.机构条件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1）持有有效的《医疗机构执业许可证》的医疗机构，并符合《健康体检管理暂行规定》要求；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2）具备独立开展学生健康体检工作的人员和条件；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3）能对学生健康体检状况进行个体和群体评价、分析、反馈，并提出健康指导建议。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4）有独立、固定的办公场所和足够的学生健康检查场所、工作条件和必备的合格的医疗检查设备与检验仪器；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5）有健全的规章制度、有国家制定或认可的医疗护理技术操作规程。</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2.人员要求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1）体检岗位设置合理，规章制度完善，岗位职责明确；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2）有足够的与学生健康体检项目相适应的管理、技术、质量控制和统计人员；按体检项目确定从事健康体检的人员数量，每个体检项目不得少于1人，检验人员不得少于2人；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3）专业技术负责人应熟悉本专业业务，技术人员的专业与学生健康体检检查的项目相符合，具有与学生健康体检工作和常见病防治有关的知识和技能；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4）内科、外科、耳鼻喉科、眼科、口腔科检查及实验室检验的人员必须具有相应的专业技术职务任职资格；各专业体检医师至少有1人具有中级以上专业技术职务任职资格；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5）健康体检各类人员均应接受岗前培训，统一体检标准；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6）健康体检机构应当指定医师审核签署健康体检报告单。负责审核健康体检报告单的医师应当具有内科或外科副主任医师及以上专业技术职务任职资格，接受相关部门组织的培训并考核合格。</w:t>
            </w:r>
          </w:p>
          <w:p>
            <w:pPr>
              <w:pStyle w:val="null3"/>
              <w:jc w:val="both"/>
            </w:pPr>
            <w:r>
              <w:rPr>
                <w:rFonts w:ascii="仿宋_GB2312" w:hAnsi="仿宋_GB2312" w:cs="仿宋_GB2312" w:eastAsia="仿宋_GB2312"/>
                <w:sz w:val="21"/>
              </w:rPr>
              <w:t>（二）场所设置基本要求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1.有学生集合场地，并设有室内候诊区（不小于20平方米）；</w:t>
            </w:r>
          </w:p>
          <w:p>
            <w:pPr>
              <w:pStyle w:val="null3"/>
              <w:jc w:val="both"/>
            </w:pPr>
            <w:r>
              <w:rPr>
                <w:rFonts w:ascii="仿宋_GB2312" w:hAnsi="仿宋_GB2312" w:cs="仿宋_GB2312" w:eastAsia="仿宋_GB2312"/>
                <w:sz w:val="21"/>
              </w:rPr>
              <w:t>2.男女分开的内科、外科检查室（各不少于1间）；</w:t>
            </w:r>
          </w:p>
          <w:p>
            <w:pPr>
              <w:pStyle w:val="null3"/>
              <w:jc w:val="both"/>
            </w:pPr>
            <w:r>
              <w:rPr>
                <w:rFonts w:ascii="仿宋_GB2312" w:hAnsi="仿宋_GB2312" w:cs="仿宋_GB2312" w:eastAsia="仿宋_GB2312"/>
                <w:sz w:val="21"/>
              </w:rPr>
              <w:t>3.眼科、耳鼻喉科、口腔科检查室；</w:t>
            </w:r>
          </w:p>
          <w:p>
            <w:pPr>
              <w:pStyle w:val="null3"/>
              <w:jc w:val="both"/>
            </w:pPr>
            <w:r>
              <w:rPr>
                <w:rFonts w:ascii="仿宋_GB2312" w:hAnsi="仿宋_GB2312" w:cs="仿宋_GB2312" w:eastAsia="仿宋_GB2312"/>
                <w:sz w:val="21"/>
              </w:rPr>
              <w:t>4.化验室、消毒供应室；</w:t>
            </w:r>
          </w:p>
          <w:p>
            <w:pPr>
              <w:pStyle w:val="null3"/>
              <w:jc w:val="both"/>
            </w:pPr>
            <w:r>
              <w:rPr>
                <w:rFonts w:ascii="仿宋_GB2312" w:hAnsi="仿宋_GB2312" w:cs="仿宋_GB2312" w:eastAsia="仿宋_GB2312"/>
                <w:sz w:val="21"/>
              </w:rPr>
              <w:t>5.男、女卫生间。</w:t>
            </w:r>
          </w:p>
          <w:p>
            <w:pPr>
              <w:pStyle w:val="null3"/>
              <w:ind w:firstLine="420"/>
              <w:jc w:val="both"/>
            </w:pPr>
            <w:r>
              <w:rPr>
                <w:rFonts w:ascii="仿宋_GB2312" w:hAnsi="仿宋_GB2312" w:cs="仿宋_GB2312" w:eastAsia="仿宋_GB2312"/>
                <w:sz w:val="21"/>
              </w:rPr>
              <w:t>体检场所应按照《医院消毒技术规范》的要求进行消毒处理，符合《医院消毒卫生标准》（</w:t>
            </w:r>
            <w:r>
              <w:rPr>
                <w:rFonts w:ascii="仿宋_GB2312" w:hAnsi="仿宋_GB2312" w:cs="仿宋_GB2312" w:eastAsia="仿宋_GB2312"/>
                <w:sz w:val="21"/>
              </w:rPr>
              <w:t>GB15982）中Ⅲ类环境的消毒卫生标准，保证卫生安全。医疗废物处理应符合《医疗废物管理条例》的规定。生物样本的采集和留存应符合国家有关卫生标准的规定和相关检验技术规范的要求；生物样本的运输应按照国家相关规定执行。</w:t>
            </w:r>
          </w:p>
          <w:p>
            <w:pPr>
              <w:pStyle w:val="null3"/>
              <w:jc w:val="both"/>
            </w:pPr>
            <w:r>
              <w:rPr>
                <w:rFonts w:ascii="仿宋_GB2312" w:hAnsi="仿宋_GB2312" w:cs="仿宋_GB2312" w:eastAsia="仿宋_GB2312"/>
                <w:sz w:val="21"/>
              </w:rPr>
              <w:t>（三）仪器设备</w:t>
            </w:r>
          </w:p>
          <w:p>
            <w:pPr>
              <w:pStyle w:val="null3"/>
              <w:jc w:val="both"/>
            </w:pPr>
            <w:r>
              <w:rPr>
                <w:rFonts w:ascii="仿宋_GB2312" w:hAnsi="仿宋_GB2312" w:cs="仿宋_GB2312" w:eastAsia="仿宋_GB2312"/>
                <w:sz w:val="21"/>
              </w:rPr>
              <w:t>学生健康体检所需的医疗检查设备与检验仪器的种类、数量、性能、量程、精度能满足工作需要，符合国际、国家、行业或地方规定的标准，并能良好运行，定期校验；仪器设备有完整的操作规程。</w:t>
            </w:r>
          </w:p>
          <w:p>
            <w:pPr>
              <w:pStyle w:val="null3"/>
              <w:jc w:val="both"/>
            </w:pPr>
            <w:r>
              <w:rPr>
                <w:rFonts w:ascii="仿宋_GB2312" w:hAnsi="仿宋_GB2312" w:cs="仿宋_GB2312" w:eastAsia="仿宋_GB2312"/>
                <w:sz w:val="21"/>
              </w:rPr>
              <w:t>1.实验室基本设备：</w:t>
            </w:r>
          </w:p>
          <w:p>
            <w:pPr>
              <w:pStyle w:val="null3"/>
              <w:jc w:val="both"/>
            </w:pPr>
            <w:r>
              <w:rPr>
                <w:rFonts w:ascii="仿宋_GB2312" w:hAnsi="仿宋_GB2312" w:cs="仿宋_GB2312" w:eastAsia="仿宋_GB2312"/>
                <w:sz w:val="21"/>
              </w:rPr>
              <w:t>①离心机；②电冰箱；③全自动或半自动生化仪；④血细胞分析仪；⑤紫外线灯。</w:t>
            </w:r>
          </w:p>
          <w:p>
            <w:pPr>
              <w:pStyle w:val="null3"/>
              <w:jc w:val="both"/>
            </w:pPr>
            <w:r>
              <w:rPr>
                <w:rFonts w:ascii="仿宋_GB2312" w:hAnsi="仿宋_GB2312" w:cs="仿宋_GB2312" w:eastAsia="仿宋_GB2312"/>
                <w:sz w:val="21"/>
              </w:rPr>
              <w:t>2.体检基本设备：</w:t>
            </w:r>
          </w:p>
          <w:p>
            <w:pPr>
              <w:pStyle w:val="null3"/>
              <w:jc w:val="both"/>
            </w:pPr>
            <w:r>
              <w:rPr>
                <w:rFonts w:ascii="仿宋_GB2312" w:hAnsi="仿宋_GB2312" w:cs="仿宋_GB2312" w:eastAsia="仿宋_GB2312"/>
                <w:sz w:val="21"/>
              </w:rPr>
              <w:t>①听诊器；②血压计；③身高计；④体重秤；⑤皮尺；⑥标准对数视力表灯箱；⑦验光仪；⑧耳鼻喉科器械（额镜、检耳镜、鼻前镜、压舌板）；⑨口腔科器械（平面口镜、五号探针、牙周探针）；⑩诊查床；⑪与健康体检项目相应的其他设备（如躯干旋转测量仪、血红蛋白仪等根据要求进行准备）。</w:t>
            </w:r>
          </w:p>
          <w:p>
            <w:pPr>
              <w:pStyle w:val="null3"/>
              <w:jc w:val="both"/>
            </w:pPr>
            <w:r>
              <w:rPr>
                <w:rFonts w:ascii="仿宋_GB2312" w:hAnsi="仿宋_GB2312" w:cs="仿宋_GB2312" w:eastAsia="仿宋_GB2312"/>
                <w:sz w:val="21"/>
              </w:rPr>
              <w:t>3.体检器具的消毒应符合《医院消毒卫生标准（GB15982）》中的医疗用品卫生标准的规定。</w:t>
            </w:r>
          </w:p>
          <w:p>
            <w:pPr>
              <w:pStyle w:val="null3"/>
              <w:jc w:val="both"/>
            </w:pPr>
            <w:r>
              <w:rPr>
                <w:rFonts w:ascii="仿宋_GB2312" w:hAnsi="仿宋_GB2312" w:cs="仿宋_GB2312" w:eastAsia="仿宋_GB2312"/>
                <w:sz w:val="21"/>
              </w:rPr>
              <w:t>（四）健康体检检查结果反馈与健康档案管理</w:t>
            </w:r>
          </w:p>
          <w:p>
            <w:pPr>
              <w:pStyle w:val="null3"/>
              <w:jc w:val="both"/>
            </w:pPr>
            <w:r>
              <w:rPr>
                <w:rFonts w:ascii="仿宋_GB2312" w:hAnsi="仿宋_GB2312" w:cs="仿宋_GB2312" w:eastAsia="仿宋_GB2312"/>
                <w:sz w:val="21"/>
              </w:rPr>
              <w:t>1.健康体检机构在学生及其监护人知情同意的前提下，以个体报告单形式向学校反馈学生个体健康体检结果，并由学校向学生及其监护人反馈。</w:t>
            </w:r>
          </w:p>
          <w:p>
            <w:pPr>
              <w:pStyle w:val="null3"/>
              <w:jc w:val="both"/>
            </w:pPr>
            <w:r>
              <w:rPr>
                <w:rFonts w:ascii="仿宋_GB2312" w:hAnsi="仿宋_GB2312" w:cs="仿宋_GB2312" w:eastAsia="仿宋_GB2312"/>
                <w:sz w:val="21"/>
              </w:rPr>
              <w:t>2.健康体检机构分别以学校汇总报告单、区域学校汇总报告单形式向学校和区教育局反馈学生健康体检结果。</w:t>
            </w:r>
          </w:p>
          <w:p>
            <w:pPr>
              <w:pStyle w:val="null3"/>
              <w:jc w:val="both"/>
            </w:pPr>
            <w:r>
              <w:rPr>
                <w:rFonts w:ascii="仿宋_GB2312" w:hAnsi="仿宋_GB2312" w:cs="仿宋_GB2312" w:eastAsia="仿宋_GB2312"/>
                <w:sz w:val="21"/>
              </w:rPr>
              <w:t>3.健康体检报告单内容。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1）个体报告单内容应当包括学生个体体检项目的客观结果、对体检结果的综合评价以及健康指导建议，超重、肥胖、营养不良、脊柱弯曲异常、视力不良、龋齿须作为指导的重点。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2）学校汇总报告单内容应当包括学校不同年级男女生的生长发育水平，营养状况分布，脊柱弯曲异常、视力不良、龋齿、缺陷检出率，不同年级存在的主要健康问题以及健康指导建议。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3）区域学校汇总报告单内容应当包括所检查学校学生的总体健康状况分析，包括生长发育、营养状况的分布、视力不良、龋齿检出率、缺陷检出率以及健康指导意见。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商务要求</w:t>
            </w:r>
            <w:r>
              <w:rPr>
                <w:rFonts w:ascii="仿宋_GB2312" w:hAnsi="仿宋_GB2312" w:cs="仿宋_GB2312" w:eastAsia="仿宋_GB2312"/>
                <w:sz w:val="20"/>
                <w:b/>
              </w:rPr>
              <w:t>：体检范围为我区南片区中小学校所有在校学生。</w:t>
            </w:r>
            <w:r>
              <w:rPr>
                <w:rFonts w:ascii="仿宋_GB2312" w:hAnsi="仿宋_GB2312" w:cs="仿宋_GB2312" w:eastAsia="仿宋_GB2312"/>
                <w:sz w:val="20"/>
                <w:b/>
              </w:rPr>
              <w:t>2025-2026学年我区南片区学校共有中小学生97957人（其中高一新生1600人）。费用由学校按实际体检学生人数据实结算。</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单价最高限价：</w:t>
            </w:r>
            <w:r>
              <w:rPr>
                <w:rFonts w:ascii="仿宋_GB2312" w:hAnsi="仿宋_GB2312" w:cs="仿宋_GB2312" w:eastAsia="仿宋_GB2312"/>
                <w:sz w:val="20"/>
                <w:b/>
              </w:rPr>
              <w:t>小学生</w:t>
            </w:r>
            <w:r>
              <w:rPr>
                <w:rFonts w:ascii="仿宋_GB2312" w:hAnsi="仿宋_GB2312" w:cs="仿宋_GB2312" w:eastAsia="仿宋_GB2312"/>
                <w:sz w:val="20"/>
                <w:b/>
              </w:rPr>
              <w:t>20（元/人）、</w:t>
            </w:r>
            <w:r>
              <w:rPr>
                <w:rFonts w:ascii="仿宋_GB2312" w:hAnsi="仿宋_GB2312" w:cs="仿宋_GB2312" w:eastAsia="仿宋_GB2312"/>
                <w:sz w:val="20"/>
                <w:b/>
              </w:rPr>
              <w:t>初中生</w:t>
            </w:r>
            <w:r>
              <w:rPr>
                <w:rFonts w:ascii="仿宋_GB2312" w:hAnsi="仿宋_GB2312" w:cs="仿宋_GB2312" w:eastAsia="仿宋_GB2312"/>
                <w:sz w:val="20"/>
                <w:b/>
              </w:rPr>
              <w:t>20（元/人）、</w:t>
            </w:r>
            <w:r>
              <w:rPr>
                <w:rFonts w:ascii="仿宋_GB2312" w:hAnsi="仿宋_GB2312" w:cs="仿宋_GB2312" w:eastAsia="仿宋_GB2312"/>
                <w:sz w:val="20"/>
                <w:b/>
              </w:rPr>
              <w:t>高一新生</w:t>
            </w:r>
            <w:r>
              <w:rPr>
                <w:rFonts w:ascii="仿宋_GB2312" w:hAnsi="仿宋_GB2312" w:cs="仿宋_GB2312" w:eastAsia="仿宋_GB2312"/>
                <w:sz w:val="20"/>
                <w:b/>
              </w:rPr>
              <w:t>25（元/人）、</w:t>
            </w:r>
            <w:r>
              <w:rPr>
                <w:rFonts w:ascii="仿宋_GB2312" w:hAnsi="仿宋_GB2312" w:cs="仿宋_GB2312" w:eastAsia="仿宋_GB2312"/>
                <w:sz w:val="20"/>
                <w:b/>
              </w:rPr>
              <w:t>高中其他年级</w:t>
            </w:r>
            <w:r>
              <w:rPr>
                <w:rFonts w:ascii="仿宋_GB2312" w:hAnsi="仿宋_GB2312" w:cs="仿宋_GB2312" w:eastAsia="仿宋_GB2312"/>
                <w:sz w:val="20"/>
                <w:b/>
              </w:rPr>
              <w:t>20（元/人）。供应商报价超过限价的其投标按无效处理。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服务期限：</w:t>
            </w:r>
            <w:r>
              <w:rPr>
                <w:rFonts w:ascii="仿宋_GB2312" w:hAnsi="仿宋_GB2312" w:cs="仿宋_GB2312" w:eastAsia="仿宋_GB2312"/>
                <w:sz w:val="21"/>
                <w:b/>
              </w:rPr>
              <w:t>2026年1月底前完成</w:t>
            </w:r>
            <w:r>
              <w:rPr>
                <w:rFonts w:ascii="仿宋_GB2312" w:hAnsi="仿宋_GB2312" w:cs="仿宋_GB2312" w:eastAsia="仿宋_GB2312"/>
                <w:sz w:val="21"/>
                <w:b/>
              </w:rPr>
              <w:t>体检工作</w:t>
            </w:r>
            <w:r>
              <w:rPr>
                <w:rFonts w:ascii="仿宋_GB2312" w:hAnsi="仿宋_GB2312" w:cs="仿宋_GB2312" w:eastAsia="仿宋_GB2312"/>
                <w:sz w:val="21"/>
                <w:b/>
              </w:rPr>
              <w:t>。个体报告单应于健康检查后</w:t>
            </w:r>
            <w:r>
              <w:rPr>
                <w:rFonts w:ascii="仿宋_GB2312" w:hAnsi="仿宋_GB2312" w:cs="仿宋_GB2312" w:eastAsia="仿宋_GB2312"/>
                <w:sz w:val="21"/>
                <w:b/>
              </w:rPr>
              <w:t>2周内反馈学生；学校汇总报告单应于检查后1个月内反馈给学校；区域学校汇总报告单应于检查后2个月内反馈区教育局。</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其他</w:t>
            </w:r>
            <w:r>
              <w:rPr>
                <w:rFonts w:ascii="仿宋_GB2312" w:hAnsi="仿宋_GB2312" w:cs="仿宋_GB2312" w:eastAsia="仿宋_GB2312"/>
                <w:sz w:val="21"/>
                <w:b/>
              </w:rPr>
              <w:t>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1）学生体检表采用西安市卫健委统一制定的体检表；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2）健康体检机构应有良好的内务管理，检查仪器放置合理，便于操作，配有必要的急救、消毒、防污染、防火、控制进入等安全措施；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3）健康体检机构应当编制质量管理体系文件，并严格开展质量控制；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4）健康体检机构应当为检验样品建立唯一识别系统和状态标识，应当编制有关样品采集、接收、流转、保存和安全处置的书面程序；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5）健康体检机构应当按照规定书写、更改、审核、签章、分发、保存和统计体检报告。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2026年1月底前完成体检工作。个体报告单应于健康检查后2周内反馈学生；学校汇总报告单应于检查后1个月内反馈给学校；区域学校汇总报告单应于检查后2个月内反馈区教育局。</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由学校按实际体检学生人数据实结算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供应商具有卫生行政部门颁发的《医疗机构执业许可证》。注：供应商需在项目电子化交易系统中按要求上传相应证明文件并进行电子签章。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唯一报价，并未超出采购预算或给定的最高限价。</w:t>
            </w:r>
          </w:p>
        </w:tc>
        <w:tc>
          <w:tcPr>
            <w:tcW w:type="dxa" w:w="1661"/>
          </w:tcPr>
          <w:p>
            <w:pPr>
              <w:pStyle w:val="null3"/>
            </w:pPr>
            <w:r>
              <w:rPr>
                <w:rFonts w:ascii="仿宋_GB2312" w:hAnsi="仿宋_GB2312" w:cs="仿宋_GB2312" w:eastAsia="仿宋_GB2312"/>
              </w:rPr>
              <w:t>响应文件封面 磋商响应报价表.docx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一、根据供应商提供的服务方案：1、内部管理制度；2、体检组织机构；3、体检中发现重大疾病或急症的后续服务；4、健康管理建议；5、健康风险评估等要素： 二、评审标准：1、完整性：方案必须全面，对评审内容中的各项要求有详细描述。 2、针对性：方案能够紧扣项目实际情况，内容科学合理。 3、可实施性：切合本项目实际情况，提出步骤清晰、合理的方案。 三、赋分标准：每满足一个评审标准得1分；内容与本项目无关或未提供的得0分。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服务配套措施</w:t>
            </w:r>
          </w:p>
        </w:tc>
        <w:tc>
          <w:tcPr>
            <w:tcW w:type="dxa" w:w="2492"/>
          </w:tcPr>
          <w:p>
            <w:pPr>
              <w:pStyle w:val="null3"/>
            </w:pPr>
            <w:r>
              <w:rPr>
                <w:rFonts w:ascii="仿宋_GB2312" w:hAnsi="仿宋_GB2312" w:cs="仿宋_GB2312" w:eastAsia="仿宋_GB2312"/>
              </w:rPr>
              <w:t>一、根据供应商提供的体检服务配套措施： 1、对本项目的总体考虑；2、各学校体检时间安排； 3、体检流程安排；4、体检实施时的引导及陪护；5、体检质量保证及技术支撑；6、体检档案管理方案；7、保密措施； 8、人身安全保障措施；9、健康体检检查结果反馈； 10、检验样品保存和安全处置程序； 二、评审标准：1、完整性：方案必须全面，对评审内容中的各项要求有详细描述。2、可实施性：切合本项目实际情况，提出步骤清晰、合理的方案。 三、赋分标准：每满足一个评审标准得1分；内容与本项目无关或未提供的得0分。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场所设置</w:t>
            </w:r>
          </w:p>
        </w:tc>
        <w:tc>
          <w:tcPr>
            <w:tcW w:type="dxa" w:w="2492"/>
          </w:tcPr>
          <w:p>
            <w:pPr>
              <w:pStyle w:val="null3"/>
            </w:pPr>
            <w:r>
              <w:rPr>
                <w:rFonts w:ascii="仿宋_GB2312" w:hAnsi="仿宋_GB2312" w:cs="仿宋_GB2312" w:eastAsia="仿宋_GB2312"/>
              </w:rPr>
              <w:t>供应商提供的本项目场所设置基本要求；体检场所内外环境及卫生措施、区域划分、标识清晰明了内容清晰，全面且完全符合要求计5分；体检场所内外环境及卫生措施、区域划分、标识清晰明了基本符合要求计3分；体检场所内外环境及卫生措施、区域划分不明确、标识不清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1、负责审核健康体检报告单的医师具有内科或外科副主任医师及以上专业技术职务任职资格得3分，提供职称证书复印件或电子件。 2、根据拟投入体检的团队人员的数量、学历、职称、从业年限、资格证书，评委进行自主赋分。人员配备合理全面得10分；人员配备基本合理全面得7分；人员配备部分合理得4分。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供应商为本项目完成投入的仪器设备图片及说明（包括：设备名称、设备规格、型号、设备性能、使用年限、检/审标识）等。 提供的仪器设备材料内容完备，设备性能先进得8分；提供的仪器设备材料内容较完备，设备性能基本满足本项目要求得6分 ；提供的仪器设备材料内容笼统，但是设备性能基本满足本项目要求得4分；提供的仪器设备材料内容缺失不完备，得1分；不提供不得分。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供应商根据在体检过程中可能发生的特殊情况，对于各类突发事件具有应急响应预/方案，及时处置妥当并反馈信息，并使本项目继续进行。 预/方案全面、具体，处置及时、稳妥安全得8分；预/方案较全面、具体，处置较及时、稳妥安全得6分；预/方案基本全面、具体，处置基本及时、稳妥安全，4分；预/方案比较笼统得1分；无内容不得分。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切实可行的服务承诺。方案具有可行性、针对性，方案明确、细节内容详细，考虑周到得4分；方案基本明确、细节内容较为详细，基本符合实际需求的得3分；方案不明确、细节内容简单笼统，可操作性欠佳得2分；方案不符合项目需求，无针对性得1分。无内容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2023年1月 1 日至今类似项目合同业绩（以合同签订日期为准），每提供1份得2分，最高10分。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增值服务方案完整、细致合理、可行性强，且明显有利于采购人得5 分；增值服务方案较为完整、细致合理、可行性一般，且有利于采购人得3 分；增值服务方案较为简单、针对性较差，有利于采购人的举措不够明显得 1 分；无内容的不得分。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商业信誉</w:t>
            </w:r>
          </w:p>
        </w:tc>
        <w:tc>
          <w:tcPr>
            <w:tcW w:type="dxa" w:w="2492"/>
          </w:tcPr>
          <w:p>
            <w:pPr>
              <w:pStyle w:val="null3"/>
            </w:pPr>
            <w:r>
              <w:rPr>
                <w:rFonts w:ascii="仿宋_GB2312" w:hAnsi="仿宋_GB2312" w:cs="仿宋_GB2312" w:eastAsia="仿宋_GB2312"/>
              </w:rPr>
              <w:t>供应商提供未出现过体检纠纷或因体检事故引发的法律纠纷等不良事件的承诺2分。无内容的不得分。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采用低价优先法计算，即通过符合性审查且最终报价最低的有效投标报价为评标基准价，其价格分为满分。 投标报价得分＝（评标基准价/投标报价）×10（注：最低报价不是中标的唯一依据。）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