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27E6D">
      <w:pPr>
        <w:keepNext w:val="0"/>
        <w:keepLines w:val="0"/>
        <w:pageBreakBefore w:val="0"/>
        <w:widowControl/>
        <w:tabs>
          <w:tab w:val="left" w:pos="735"/>
        </w:tabs>
        <w:kinsoku/>
        <w:wordWrap/>
        <w:overflowPunct/>
        <w:topLinePunct w:val="0"/>
        <w:autoSpaceDE w:val="0"/>
        <w:autoSpaceDN w:val="0"/>
        <w:bidi w:val="0"/>
        <w:adjustRightInd w:val="0"/>
        <w:snapToGrid w:val="0"/>
        <w:spacing w:after="200" w:line="240" w:lineRule="auto"/>
        <w:ind w:right="0" w:firstLine="422" w:firstLineChars="200"/>
        <w:jc w:val="left"/>
        <w:rPr>
          <w:rFonts w:hint="eastAsia" w:ascii="仿宋_GB2312" w:hAnsi="仿宋_GB2312" w:eastAsia="仿宋_GB2312" w:cs="仿宋_GB2312"/>
          <w:b/>
          <w:bCs/>
          <w:color w:val="auto"/>
          <w:kern w:val="0"/>
          <w:sz w:val="21"/>
          <w:szCs w:val="21"/>
          <w:highlight w:val="none"/>
          <w:lang w:val="zh-CN" w:eastAsia="en-US"/>
        </w:rPr>
      </w:pPr>
      <w:r>
        <w:rPr>
          <w:rFonts w:hint="eastAsia" w:ascii="仿宋_GB2312" w:hAnsi="仿宋_GB2312" w:eastAsia="仿宋_GB2312" w:cs="仿宋_GB2312"/>
          <w:b/>
          <w:bCs/>
          <w:color w:val="auto"/>
          <w:kern w:val="0"/>
          <w:sz w:val="21"/>
          <w:szCs w:val="21"/>
          <w:highlight w:val="none"/>
          <w:lang w:val="zh-CN" w:eastAsia="en-US"/>
        </w:rPr>
        <w:t>甲方：</w:t>
      </w:r>
      <w:r>
        <w:rPr>
          <w:rFonts w:hint="eastAsia" w:ascii="仿宋_GB2312" w:hAnsi="仿宋_GB2312" w:eastAsia="仿宋_GB2312" w:cs="仿宋_GB2312"/>
          <w:bCs/>
          <w:color w:val="auto"/>
          <w:kern w:val="0"/>
          <w:sz w:val="21"/>
          <w:szCs w:val="21"/>
          <w:highlight w:val="none"/>
          <w:lang w:val="zh-CN" w:eastAsia="en-US"/>
        </w:rPr>
        <w:t>（前款所称采购人）     住所：</w:t>
      </w:r>
    </w:p>
    <w:p w14:paraId="4D9F4889">
      <w:pPr>
        <w:keepNext w:val="0"/>
        <w:keepLines w:val="0"/>
        <w:pageBreakBefore w:val="0"/>
        <w:widowControl/>
        <w:tabs>
          <w:tab w:val="left" w:pos="735"/>
        </w:tabs>
        <w:kinsoku/>
        <w:wordWrap/>
        <w:overflowPunct/>
        <w:topLinePunct w:val="0"/>
        <w:autoSpaceDE w:val="0"/>
        <w:autoSpaceDN w:val="0"/>
        <w:bidi w:val="0"/>
        <w:adjustRightInd w:val="0"/>
        <w:snapToGrid w:val="0"/>
        <w:spacing w:after="200" w:line="240" w:lineRule="auto"/>
        <w:ind w:right="0" w:firstLine="422" w:firstLineChars="200"/>
        <w:jc w:val="left"/>
        <w:rPr>
          <w:rFonts w:hint="eastAsia" w:ascii="仿宋_GB2312" w:hAnsi="仿宋_GB2312" w:eastAsia="仿宋_GB2312" w:cs="仿宋_GB2312"/>
          <w:bCs/>
          <w:color w:val="auto"/>
          <w:kern w:val="0"/>
          <w:sz w:val="21"/>
          <w:szCs w:val="21"/>
          <w:highlight w:val="none"/>
          <w:lang w:val="zh-CN" w:eastAsia="en-US"/>
        </w:rPr>
      </w:pPr>
      <w:r>
        <w:rPr>
          <w:rFonts w:hint="eastAsia" w:ascii="仿宋_GB2312" w:hAnsi="仿宋_GB2312" w:eastAsia="仿宋_GB2312" w:cs="仿宋_GB2312"/>
          <w:b/>
          <w:bCs/>
          <w:color w:val="auto"/>
          <w:kern w:val="0"/>
          <w:sz w:val="21"/>
          <w:szCs w:val="21"/>
          <w:highlight w:val="none"/>
          <w:lang w:val="zh-CN" w:eastAsia="en-US"/>
        </w:rPr>
        <w:t>乙方：</w:t>
      </w:r>
      <w:r>
        <w:rPr>
          <w:rFonts w:hint="eastAsia" w:ascii="仿宋_GB2312" w:hAnsi="仿宋_GB2312" w:eastAsia="仿宋_GB2312" w:cs="仿宋_GB2312"/>
          <w:bCs/>
          <w:color w:val="auto"/>
          <w:kern w:val="0"/>
          <w:sz w:val="21"/>
          <w:szCs w:val="21"/>
          <w:highlight w:val="none"/>
          <w:lang w:val="zh-CN" w:eastAsia="en-US"/>
        </w:rPr>
        <w:t>（前款所称中标人）     住所：</w:t>
      </w:r>
    </w:p>
    <w:p w14:paraId="27575B33">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bookmarkStart w:id="0" w:name="_Toc19515384"/>
      <w:r>
        <w:rPr>
          <w:rFonts w:hint="eastAsia" w:ascii="仿宋_GB2312" w:hAnsi="仿宋_GB2312" w:eastAsia="仿宋_GB2312" w:cs="仿宋_GB2312"/>
          <w:color w:val="auto"/>
          <w:kern w:val="0"/>
          <w:sz w:val="21"/>
          <w:szCs w:val="21"/>
          <w:highlight w:val="none"/>
          <w:lang w:eastAsia="en-US"/>
        </w:rPr>
        <w:t>一、合同内容（标的、数量、规格等）:</w:t>
      </w:r>
      <w:bookmarkEnd w:id="0"/>
    </w:p>
    <w:p w14:paraId="068D42CA">
      <w:pPr>
        <w:keepNext w:val="0"/>
        <w:keepLines w:val="0"/>
        <w:pageBreakBefore w:val="0"/>
        <w:widowControl/>
        <w:kinsoku/>
        <w:wordWrap/>
        <w:overflowPunct/>
        <w:topLinePunct w:val="0"/>
        <w:bidi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供货清单：</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820"/>
        <w:gridCol w:w="758"/>
        <w:gridCol w:w="758"/>
        <w:gridCol w:w="956"/>
        <w:gridCol w:w="1016"/>
        <w:gridCol w:w="2003"/>
        <w:gridCol w:w="1443"/>
      </w:tblGrid>
      <w:tr w14:paraId="53548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449" w:type="pct"/>
            <w:vAlign w:val="center"/>
          </w:tcPr>
          <w:p w14:paraId="4C7F2897">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序号</w:t>
            </w:r>
          </w:p>
        </w:tc>
        <w:tc>
          <w:tcPr>
            <w:tcW w:w="481" w:type="pct"/>
            <w:vAlign w:val="center"/>
          </w:tcPr>
          <w:p w14:paraId="5CDA24C0">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名称</w:t>
            </w:r>
          </w:p>
        </w:tc>
        <w:tc>
          <w:tcPr>
            <w:tcW w:w="445" w:type="pct"/>
            <w:vAlign w:val="center"/>
          </w:tcPr>
          <w:p w14:paraId="1E40D9AE">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数量</w:t>
            </w:r>
          </w:p>
        </w:tc>
        <w:tc>
          <w:tcPr>
            <w:tcW w:w="445" w:type="pct"/>
            <w:vAlign w:val="center"/>
          </w:tcPr>
          <w:p w14:paraId="63B14E17">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单位</w:t>
            </w:r>
          </w:p>
        </w:tc>
        <w:tc>
          <w:tcPr>
            <w:tcW w:w="561" w:type="pct"/>
            <w:vAlign w:val="center"/>
          </w:tcPr>
          <w:p w14:paraId="66532EB4">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单价</w:t>
            </w:r>
          </w:p>
        </w:tc>
        <w:tc>
          <w:tcPr>
            <w:tcW w:w="596" w:type="pct"/>
            <w:vAlign w:val="center"/>
          </w:tcPr>
          <w:p w14:paraId="48851487">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金额</w:t>
            </w:r>
          </w:p>
        </w:tc>
        <w:tc>
          <w:tcPr>
            <w:tcW w:w="1175" w:type="pct"/>
            <w:vAlign w:val="center"/>
          </w:tcPr>
          <w:p w14:paraId="37475288">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制造厂家</w:t>
            </w:r>
          </w:p>
        </w:tc>
        <w:tc>
          <w:tcPr>
            <w:tcW w:w="846" w:type="pct"/>
            <w:vAlign w:val="center"/>
          </w:tcPr>
          <w:p w14:paraId="075C5381">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规格和说明</w:t>
            </w:r>
          </w:p>
        </w:tc>
      </w:tr>
      <w:tr w14:paraId="378A0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49" w:type="pct"/>
            <w:vAlign w:val="bottom"/>
          </w:tcPr>
          <w:p w14:paraId="583B6380">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left"/>
              <w:textAlignment w:val="auto"/>
              <w:rPr>
                <w:rFonts w:hint="eastAsia" w:ascii="仿宋_GB2312" w:hAnsi="仿宋_GB2312" w:eastAsia="仿宋_GB2312" w:cs="仿宋_GB2312"/>
                <w:color w:val="auto"/>
                <w:kern w:val="0"/>
                <w:sz w:val="21"/>
                <w:szCs w:val="21"/>
                <w:highlight w:val="none"/>
                <w:lang w:eastAsia="en-US"/>
              </w:rPr>
            </w:pPr>
          </w:p>
        </w:tc>
        <w:tc>
          <w:tcPr>
            <w:tcW w:w="481" w:type="pct"/>
            <w:vAlign w:val="bottom"/>
          </w:tcPr>
          <w:p w14:paraId="4EA5598D">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445" w:type="pct"/>
            <w:vAlign w:val="bottom"/>
          </w:tcPr>
          <w:p w14:paraId="40C14D44">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445" w:type="pct"/>
            <w:vAlign w:val="bottom"/>
          </w:tcPr>
          <w:p w14:paraId="00F48C32">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561" w:type="pct"/>
            <w:vAlign w:val="bottom"/>
          </w:tcPr>
          <w:p w14:paraId="1183E527">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596" w:type="pct"/>
            <w:vAlign w:val="bottom"/>
          </w:tcPr>
          <w:p w14:paraId="02FA3601">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1175" w:type="pct"/>
            <w:vAlign w:val="bottom"/>
          </w:tcPr>
          <w:p w14:paraId="07DEEB1D">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846" w:type="pct"/>
            <w:vAlign w:val="bottom"/>
          </w:tcPr>
          <w:p w14:paraId="4967F112">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r>
      <w:tr w14:paraId="68AF2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49" w:type="pct"/>
            <w:vAlign w:val="bottom"/>
          </w:tcPr>
          <w:p w14:paraId="4891E66D">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left"/>
              <w:textAlignment w:val="auto"/>
              <w:rPr>
                <w:rFonts w:hint="eastAsia" w:ascii="仿宋_GB2312" w:hAnsi="仿宋_GB2312" w:eastAsia="仿宋_GB2312" w:cs="仿宋_GB2312"/>
                <w:color w:val="auto"/>
                <w:kern w:val="0"/>
                <w:sz w:val="21"/>
                <w:szCs w:val="21"/>
                <w:highlight w:val="none"/>
                <w:lang w:eastAsia="en-US"/>
              </w:rPr>
            </w:pPr>
          </w:p>
        </w:tc>
        <w:tc>
          <w:tcPr>
            <w:tcW w:w="481" w:type="pct"/>
            <w:vAlign w:val="bottom"/>
          </w:tcPr>
          <w:p w14:paraId="463044B6">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445" w:type="pct"/>
            <w:vAlign w:val="bottom"/>
          </w:tcPr>
          <w:p w14:paraId="48E686D0">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445" w:type="pct"/>
            <w:vAlign w:val="bottom"/>
          </w:tcPr>
          <w:p w14:paraId="60EC2C7D">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561" w:type="pct"/>
            <w:vAlign w:val="bottom"/>
          </w:tcPr>
          <w:p w14:paraId="41A632FB">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596" w:type="pct"/>
            <w:vAlign w:val="bottom"/>
          </w:tcPr>
          <w:p w14:paraId="749422D8">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1175" w:type="pct"/>
            <w:vAlign w:val="bottom"/>
          </w:tcPr>
          <w:p w14:paraId="7A6FDC58">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c>
          <w:tcPr>
            <w:tcW w:w="846" w:type="pct"/>
            <w:vAlign w:val="bottom"/>
          </w:tcPr>
          <w:p w14:paraId="22049F4B">
            <w:pPr>
              <w:keepNext w:val="0"/>
              <w:keepLines w:val="0"/>
              <w:pageBreakBefore w:val="0"/>
              <w:widowControl/>
              <w:kinsoku/>
              <w:wordWrap/>
              <w:overflowPunct/>
              <w:topLinePunct w:val="0"/>
              <w:autoSpaceDE/>
              <w:autoSpaceDN/>
              <w:bidi w:val="0"/>
              <w:adjustRightInd/>
              <w:snapToGrid/>
              <w:spacing w:after="0" w:line="240" w:lineRule="auto"/>
              <w:ind w:right="0" w:firstLine="0" w:firstLineChars="0"/>
              <w:jc w:val="center"/>
              <w:textAlignment w:val="auto"/>
              <w:rPr>
                <w:rFonts w:hint="eastAsia" w:ascii="仿宋_GB2312" w:hAnsi="仿宋_GB2312" w:eastAsia="仿宋_GB2312" w:cs="仿宋_GB2312"/>
                <w:color w:val="auto"/>
                <w:kern w:val="0"/>
                <w:sz w:val="21"/>
                <w:szCs w:val="21"/>
                <w:highlight w:val="none"/>
                <w:lang w:eastAsia="en-US"/>
              </w:rPr>
            </w:pPr>
          </w:p>
        </w:tc>
      </w:tr>
    </w:tbl>
    <w:p w14:paraId="03840A5C">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bookmarkStart w:id="1" w:name="_Toc19515385"/>
      <w:r>
        <w:rPr>
          <w:rFonts w:hint="eastAsia" w:ascii="仿宋_GB2312" w:hAnsi="仿宋_GB2312" w:eastAsia="仿宋_GB2312" w:cs="仿宋_GB2312"/>
          <w:color w:val="auto"/>
          <w:kern w:val="0"/>
          <w:sz w:val="21"/>
          <w:szCs w:val="21"/>
          <w:highlight w:val="none"/>
          <w:lang w:eastAsia="en-US"/>
        </w:rPr>
        <w:t>二、合同价款</w:t>
      </w:r>
      <w:bookmarkEnd w:id="1"/>
    </w:p>
    <w:p w14:paraId="3CA0133D">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1、合同总价：</w:t>
      </w:r>
    </w:p>
    <w:p w14:paraId="65DC4245">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2、合同总价包括：</w:t>
      </w:r>
    </w:p>
    <w:p w14:paraId="5C603A06">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3、合同为固定总价合同，不受市场价变化的影响。</w:t>
      </w:r>
    </w:p>
    <w:p w14:paraId="37D914DC">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bookmarkStart w:id="2" w:name="_Toc19515386"/>
      <w:r>
        <w:rPr>
          <w:rFonts w:hint="eastAsia" w:ascii="仿宋_GB2312" w:hAnsi="仿宋_GB2312" w:eastAsia="仿宋_GB2312" w:cs="仿宋_GB2312"/>
          <w:color w:val="auto"/>
          <w:kern w:val="0"/>
          <w:sz w:val="21"/>
          <w:szCs w:val="21"/>
          <w:highlight w:val="none"/>
          <w:lang w:eastAsia="en-US"/>
        </w:rPr>
        <w:t>三、合同结算</w:t>
      </w:r>
      <w:bookmarkEnd w:id="2"/>
    </w:p>
    <w:p w14:paraId="3F03B8AC">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1、付款方式：</w:t>
      </w:r>
      <w:r>
        <w:rPr>
          <w:rFonts w:hint="eastAsia" w:ascii="仿宋_GB2312" w:hAnsi="仿宋_GB2312" w:eastAsia="仿宋_GB2312" w:cs="仿宋_GB2312"/>
          <w:color w:val="auto"/>
          <w:kern w:val="0"/>
          <w:sz w:val="21"/>
          <w:szCs w:val="21"/>
          <w:highlight w:val="none"/>
          <w:lang w:val="en-US" w:eastAsia="zh-CN"/>
        </w:rPr>
        <w:t xml:space="preserve">合同签订，全部货物配送到位经双方共同核验无误后 ，达到付款条件起 30 日内，支付合同总金额的 100.00% </w:t>
      </w:r>
    </w:p>
    <w:p w14:paraId="771C3026">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2、结算方式：银行转账。</w:t>
      </w:r>
      <w:bookmarkStart w:id="10" w:name="_GoBack"/>
      <w:bookmarkEnd w:id="10"/>
    </w:p>
    <w:p w14:paraId="3E256904">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3、结算单位：由</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lang w:eastAsia="en-US"/>
        </w:rPr>
        <w:t>负责结算，乙方开具合同总价数的全额发票交采购人。</w:t>
      </w:r>
    </w:p>
    <w:p w14:paraId="37E15E21">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bookmarkStart w:id="3" w:name="_Toc19515387"/>
      <w:r>
        <w:rPr>
          <w:rFonts w:hint="eastAsia" w:ascii="仿宋_GB2312" w:hAnsi="仿宋_GB2312" w:eastAsia="仿宋_GB2312" w:cs="仿宋_GB2312"/>
          <w:color w:val="auto"/>
          <w:kern w:val="0"/>
          <w:sz w:val="21"/>
          <w:szCs w:val="21"/>
          <w:highlight w:val="none"/>
          <w:lang w:eastAsia="en-US"/>
        </w:rPr>
        <w:t>四、交货期、地点及方式:</w:t>
      </w:r>
      <w:bookmarkEnd w:id="3"/>
    </w:p>
    <w:p w14:paraId="32B8F343">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1、交货期：自合同签订之日起</w:t>
      </w:r>
      <w:r>
        <w:rPr>
          <w:rFonts w:hint="eastAsia" w:ascii="仿宋_GB2312" w:hAnsi="仿宋_GB2312" w:eastAsia="仿宋_GB2312" w:cs="仿宋_GB2312"/>
          <w:color w:val="auto"/>
          <w:kern w:val="0"/>
          <w:sz w:val="21"/>
          <w:szCs w:val="21"/>
          <w:highlight w:val="none"/>
          <w:lang w:eastAsia="zh-CN"/>
        </w:rPr>
        <w:t>15个日历日</w:t>
      </w:r>
      <w:r>
        <w:rPr>
          <w:rFonts w:hint="eastAsia" w:ascii="仿宋_GB2312" w:hAnsi="仿宋_GB2312" w:eastAsia="仿宋_GB2312" w:cs="仿宋_GB2312"/>
          <w:color w:val="auto"/>
          <w:kern w:val="0"/>
          <w:sz w:val="21"/>
          <w:szCs w:val="21"/>
          <w:highlight w:val="none"/>
          <w:lang w:eastAsia="en-US"/>
        </w:rPr>
        <w:t>完成全部项目内容，并交付采购人验收合格。</w:t>
      </w:r>
    </w:p>
    <w:p w14:paraId="67E2E1E5">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2、地点：采购人指定地点</w:t>
      </w:r>
    </w:p>
    <w:p w14:paraId="56E12F22">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3、方式：现场交货</w:t>
      </w:r>
    </w:p>
    <w:p w14:paraId="08841A71">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bookmarkStart w:id="4" w:name="_Toc19515390"/>
      <w:r>
        <w:rPr>
          <w:rFonts w:hint="eastAsia" w:ascii="仿宋_GB2312" w:hAnsi="仿宋_GB2312" w:eastAsia="仿宋_GB2312" w:cs="仿宋_GB2312"/>
          <w:color w:val="auto"/>
          <w:kern w:val="0"/>
          <w:sz w:val="21"/>
          <w:szCs w:val="21"/>
          <w:highlight w:val="none"/>
          <w:lang w:eastAsia="en-US"/>
        </w:rPr>
        <w:t>五、技术服务</w:t>
      </w:r>
      <w:bookmarkEnd w:id="4"/>
    </w:p>
    <w:p w14:paraId="70F35989">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1、对技术服务的要求：</w:t>
      </w:r>
    </w:p>
    <w:p w14:paraId="04454D20">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2、技术资料：</w:t>
      </w:r>
    </w:p>
    <w:p w14:paraId="394E0EB9">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3、技术培训：</w:t>
      </w:r>
    </w:p>
    <w:p w14:paraId="621711CE">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3-1、培训内容：</w:t>
      </w:r>
    </w:p>
    <w:p w14:paraId="72168904">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3-2、培训地点：</w:t>
      </w:r>
    </w:p>
    <w:p w14:paraId="29028229">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3-3、培训时间：</w:t>
      </w:r>
    </w:p>
    <w:p w14:paraId="3D3C6C9E">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3-4、培训人数：</w:t>
      </w:r>
    </w:p>
    <w:p w14:paraId="41D16D60">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3-5、培训费用：受训人员的食宿费、资料费、培训场地费、耗材（包括水电费等）费等已包含在合同总价中，甲方不再另行支付。</w:t>
      </w:r>
    </w:p>
    <w:p w14:paraId="3F7DA52C">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4、售后服务</w:t>
      </w:r>
    </w:p>
    <w:p w14:paraId="1598C7B0">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4-1、本合同下的标的物质保期为</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u w:val="single"/>
          <w:lang w:val="en-US" w:eastAsia="zh-CN"/>
        </w:rPr>
        <w:t xml:space="preserve"> </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lang w:eastAsia="en-US"/>
        </w:rPr>
        <w:t>年。</w:t>
      </w:r>
    </w:p>
    <w:p w14:paraId="04ED3D51">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4-2、质保期内乙方在接到甲方电话通知后在</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lang w:eastAsia="en-US"/>
        </w:rPr>
        <w:t>小时内派出合格的服务人员到达现场进行服务，并由乙方承担相应费用。</w:t>
      </w:r>
    </w:p>
    <w:p w14:paraId="3B3162E1">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4-3、如果乙方在收到通知后两天内没有弥补缺陷，甲方可采取必要的补救措施，但其风险和费用将由乙方承担，甲方根据合同规定对乙方行使的其它权力不受影响。</w:t>
      </w:r>
    </w:p>
    <w:p w14:paraId="06B02492">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bookmarkStart w:id="5" w:name="_Toc19515391"/>
      <w:r>
        <w:rPr>
          <w:rFonts w:hint="eastAsia" w:ascii="仿宋_GB2312" w:hAnsi="仿宋_GB2312" w:eastAsia="仿宋_GB2312" w:cs="仿宋_GB2312"/>
          <w:color w:val="auto"/>
          <w:kern w:val="0"/>
          <w:sz w:val="21"/>
          <w:szCs w:val="21"/>
          <w:highlight w:val="none"/>
          <w:lang w:eastAsia="en-US"/>
        </w:rPr>
        <w:t>六、验收</w:t>
      </w:r>
      <w:bookmarkEnd w:id="5"/>
    </w:p>
    <w:p w14:paraId="36AF18E5">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1、验收：乙方完成服务内容后，向甲方提出验收申请，甲方接到乙方验收申请后组织验收（必要时可聘请相应专家或委托相应部门验收），验收合格后，出具使用验收合格证明。</w:t>
      </w:r>
    </w:p>
    <w:p w14:paraId="47F874CC">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2、最终验收：最终验收结果作为付款依据，乙方填写验收单，并向甲方提交实施过程中的所有资料，以便甲方日后管理和维护。</w:t>
      </w:r>
    </w:p>
    <w:p w14:paraId="0217F950">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3、质保期满后：由乙方出具质保期运行质量报告，若存在质量问题，应按相应规定协商处理。</w:t>
      </w:r>
    </w:p>
    <w:p w14:paraId="2AF96859">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4、验收依据：</w:t>
      </w:r>
    </w:p>
    <w:p w14:paraId="16277591">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4-1、合同文本、合同附件、</w:t>
      </w:r>
      <w:r>
        <w:rPr>
          <w:rFonts w:hint="eastAsia" w:ascii="仿宋_GB2312" w:hAnsi="仿宋_GB2312" w:eastAsia="仿宋_GB2312" w:cs="仿宋_GB2312"/>
          <w:color w:val="auto"/>
          <w:kern w:val="0"/>
          <w:sz w:val="21"/>
          <w:szCs w:val="21"/>
          <w:highlight w:val="none"/>
          <w:lang w:val="en-US" w:eastAsia="zh-CN"/>
        </w:rPr>
        <w:t>竞争性磋商</w:t>
      </w:r>
      <w:r>
        <w:rPr>
          <w:rFonts w:hint="eastAsia" w:ascii="仿宋_GB2312" w:hAnsi="仿宋_GB2312" w:eastAsia="仿宋_GB2312" w:cs="仿宋_GB2312"/>
          <w:color w:val="auto"/>
          <w:kern w:val="0"/>
          <w:sz w:val="21"/>
          <w:szCs w:val="21"/>
          <w:highlight w:val="none"/>
          <w:lang w:eastAsia="en-US"/>
        </w:rPr>
        <w:t>文件、</w:t>
      </w:r>
      <w:r>
        <w:rPr>
          <w:rFonts w:hint="eastAsia" w:ascii="仿宋_GB2312" w:hAnsi="仿宋_GB2312" w:eastAsia="仿宋_GB2312" w:cs="仿宋_GB2312"/>
          <w:color w:val="auto"/>
          <w:kern w:val="0"/>
          <w:sz w:val="21"/>
          <w:szCs w:val="21"/>
          <w:highlight w:val="none"/>
          <w:lang w:val="en-US" w:eastAsia="zh-CN"/>
        </w:rPr>
        <w:t>竞争性磋商响应</w:t>
      </w:r>
      <w:r>
        <w:rPr>
          <w:rFonts w:hint="eastAsia" w:ascii="仿宋_GB2312" w:hAnsi="仿宋_GB2312" w:eastAsia="仿宋_GB2312" w:cs="仿宋_GB2312"/>
          <w:color w:val="auto"/>
          <w:kern w:val="0"/>
          <w:sz w:val="21"/>
          <w:szCs w:val="21"/>
          <w:highlight w:val="none"/>
          <w:lang w:eastAsia="en-US"/>
        </w:rPr>
        <w:t>文件。</w:t>
      </w:r>
    </w:p>
    <w:p w14:paraId="075028E1">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4-2、国内相应的标准、规范。</w:t>
      </w:r>
    </w:p>
    <w:p w14:paraId="21EB48DA">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bookmarkStart w:id="6" w:name="_Toc19515392"/>
      <w:r>
        <w:rPr>
          <w:rFonts w:hint="eastAsia" w:ascii="仿宋_GB2312" w:hAnsi="仿宋_GB2312" w:eastAsia="仿宋_GB2312" w:cs="仿宋_GB2312"/>
          <w:color w:val="auto"/>
          <w:kern w:val="0"/>
          <w:sz w:val="21"/>
          <w:szCs w:val="21"/>
          <w:highlight w:val="none"/>
          <w:lang w:eastAsia="en-US"/>
        </w:rPr>
        <w:t>七、违约责任</w:t>
      </w:r>
      <w:bookmarkEnd w:id="6"/>
    </w:p>
    <w:p w14:paraId="57B4B005">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1、按《中华人民共和国民法典》中的相关条款执行。</w:t>
      </w:r>
    </w:p>
    <w:p w14:paraId="280854DC">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2、乙方履约延误</w:t>
      </w:r>
    </w:p>
    <w:p w14:paraId="657EAC7E">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2-1、如乙方事先未征得甲方同意并得到甲方的谅解而单方面延迟执行合同，将按违约终止合同。</w:t>
      </w:r>
    </w:p>
    <w:p w14:paraId="76239745">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250B93A">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3、违约终止合同：未按合同要求提供服务或不能满足技术要求，甲方会同监督机构有权终止合同，对乙方违约行为进行追究，同时按政府采购法的有关规定进行相应的处罚。</w:t>
      </w:r>
    </w:p>
    <w:p w14:paraId="350C023A">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bookmarkStart w:id="7" w:name="_Toc19515393"/>
      <w:r>
        <w:rPr>
          <w:rFonts w:hint="eastAsia" w:ascii="仿宋_GB2312" w:hAnsi="仿宋_GB2312" w:eastAsia="仿宋_GB2312" w:cs="仿宋_GB2312"/>
          <w:color w:val="auto"/>
          <w:kern w:val="0"/>
          <w:sz w:val="21"/>
          <w:szCs w:val="21"/>
          <w:highlight w:val="none"/>
          <w:lang w:eastAsia="en-US"/>
        </w:rPr>
        <w:t>八、合同组成</w:t>
      </w:r>
      <w:bookmarkEnd w:id="7"/>
    </w:p>
    <w:p w14:paraId="65CB2873">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1、</w:t>
      </w:r>
      <w:r>
        <w:rPr>
          <w:rFonts w:hint="eastAsia" w:ascii="仿宋_GB2312" w:hAnsi="仿宋_GB2312" w:eastAsia="仿宋_GB2312" w:cs="仿宋_GB2312"/>
          <w:color w:val="auto"/>
          <w:kern w:val="0"/>
          <w:sz w:val="21"/>
          <w:szCs w:val="21"/>
          <w:highlight w:val="none"/>
          <w:lang w:val="en-US" w:eastAsia="zh-CN"/>
        </w:rPr>
        <w:t>成交</w:t>
      </w:r>
      <w:r>
        <w:rPr>
          <w:rFonts w:hint="eastAsia" w:ascii="仿宋_GB2312" w:hAnsi="仿宋_GB2312" w:eastAsia="仿宋_GB2312" w:cs="仿宋_GB2312"/>
          <w:color w:val="auto"/>
          <w:kern w:val="0"/>
          <w:sz w:val="21"/>
          <w:szCs w:val="21"/>
          <w:highlight w:val="none"/>
          <w:lang w:eastAsia="en-US"/>
        </w:rPr>
        <w:t>通知书</w:t>
      </w:r>
    </w:p>
    <w:p w14:paraId="32DAAB42">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2、合同文件</w:t>
      </w:r>
    </w:p>
    <w:p w14:paraId="6E0A641C">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3、国家相关规范及标准</w:t>
      </w:r>
    </w:p>
    <w:p w14:paraId="0D648DD5">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4、</w:t>
      </w:r>
      <w:r>
        <w:rPr>
          <w:rFonts w:hint="eastAsia" w:ascii="仿宋_GB2312" w:hAnsi="仿宋_GB2312" w:eastAsia="仿宋_GB2312" w:cs="仿宋_GB2312"/>
          <w:color w:val="auto"/>
          <w:kern w:val="0"/>
          <w:sz w:val="21"/>
          <w:szCs w:val="21"/>
          <w:highlight w:val="none"/>
          <w:lang w:val="en-US" w:eastAsia="zh-CN"/>
        </w:rPr>
        <w:t>竞争性磋商</w:t>
      </w:r>
      <w:r>
        <w:rPr>
          <w:rFonts w:hint="eastAsia" w:ascii="仿宋_GB2312" w:hAnsi="仿宋_GB2312" w:eastAsia="仿宋_GB2312" w:cs="仿宋_GB2312"/>
          <w:color w:val="auto"/>
          <w:kern w:val="0"/>
          <w:sz w:val="21"/>
          <w:szCs w:val="21"/>
          <w:highlight w:val="none"/>
          <w:lang w:eastAsia="en-US"/>
        </w:rPr>
        <w:t>文件</w:t>
      </w:r>
    </w:p>
    <w:p w14:paraId="11C696ED">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5、</w:t>
      </w:r>
      <w:r>
        <w:rPr>
          <w:rFonts w:hint="eastAsia" w:ascii="仿宋_GB2312" w:hAnsi="仿宋_GB2312" w:eastAsia="仿宋_GB2312" w:cs="仿宋_GB2312"/>
          <w:color w:val="auto"/>
          <w:kern w:val="0"/>
          <w:sz w:val="21"/>
          <w:szCs w:val="21"/>
          <w:highlight w:val="none"/>
          <w:lang w:val="en-US" w:eastAsia="zh-CN"/>
        </w:rPr>
        <w:t>竞争性磋商响应</w:t>
      </w:r>
      <w:r>
        <w:rPr>
          <w:rFonts w:hint="eastAsia" w:ascii="仿宋_GB2312" w:hAnsi="仿宋_GB2312" w:eastAsia="仿宋_GB2312" w:cs="仿宋_GB2312"/>
          <w:color w:val="auto"/>
          <w:kern w:val="0"/>
          <w:sz w:val="21"/>
          <w:szCs w:val="21"/>
          <w:highlight w:val="none"/>
          <w:lang w:eastAsia="en-US"/>
        </w:rPr>
        <w:t>文件</w:t>
      </w:r>
    </w:p>
    <w:p w14:paraId="3D0982AD">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bookmarkStart w:id="8" w:name="_Toc19515394"/>
      <w:r>
        <w:rPr>
          <w:rFonts w:hint="eastAsia" w:ascii="仿宋_GB2312" w:hAnsi="仿宋_GB2312" w:eastAsia="仿宋_GB2312" w:cs="仿宋_GB2312"/>
          <w:color w:val="auto"/>
          <w:kern w:val="0"/>
          <w:sz w:val="21"/>
          <w:szCs w:val="21"/>
          <w:highlight w:val="none"/>
          <w:lang w:eastAsia="en-US"/>
        </w:rPr>
        <w:t>九、解决争议的方法</w:t>
      </w:r>
      <w:bookmarkEnd w:id="8"/>
    </w:p>
    <w:p w14:paraId="49F8B3B6">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凡因本合同引起的或与本合同有关的争议，双方应友好协商解决。协商不成时，双方均同意采用以下第（  ）种争议解决方式：</w:t>
      </w:r>
    </w:p>
    <w:p w14:paraId="52C86C6C">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1、甲、乙双方均同意向（甲方所在地人民法院）提起诉讼。</w:t>
      </w:r>
    </w:p>
    <w:p w14:paraId="0E3DB78A">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2、甲、乙双方均同意向（</w:t>
      </w:r>
      <w:r>
        <w:rPr>
          <w:rFonts w:hint="eastAsia" w:ascii="仿宋_GB2312" w:hAnsi="仿宋_GB2312" w:eastAsia="仿宋_GB2312" w:cs="仿宋_GB2312"/>
          <w:color w:val="auto"/>
          <w:kern w:val="0"/>
          <w:sz w:val="21"/>
          <w:szCs w:val="21"/>
          <w:highlight w:val="none"/>
          <w:u w:val="none"/>
          <w:lang w:eastAsia="en-US"/>
        </w:rPr>
        <w:t>仲裁委员会</w:t>
      </w:r>
      <w:r>
        <w:rPr>
          <w:rFonts w:hint="eastAsia" w:ascii="仿宋_GB2312" w:hAnsi="仿宋_GB2312" w:eastAsia="仿宋_GB2312" w:cs="仿宋_GB2312"/>
          <w:color w:val="auto"/>
          <w:kern w:val="0"/>
          <w:sz w:val="21"/>
          <w:szCs w:val="21"/>
          <w:highlight w:val="none"/>
          <w:lang w:eastAsia="en-US"/>
        </w:rPr>
        <w:t>）提起仲裁。</w:t>
      </w:r>
    </w:p>
    <w:p w14:paraId="12FEBD8C">
      <w:pPr>
        <w:keepNext w:val="0"/>
        <w:keepLines w:val="0"/>
        <w:pageBreakBefore w:val="0"/>
        <w:widowControl/>
        <w:kinsoku/>
        <w:wordWrap/>
        <w:overflowPunct/>
        <w:topLinePunct w:val="0"/>
        <w:bidi w:val="0"/>
        <w:adjustRightInd w:val="0"/>
        <w:snapToGrid w:val="0"/>
        <w:spacing w:after="200" w:line="240" w:lineRule="auto"/>
        <w:ind w:right="0" w:firstLine="420" w:firstLineChars="200"/>
        <w:jc w:val="left"/>
        <w:rPr>
          <w:rFonts w:hint="eastAsia" w:ascii="仿宋_GB2312" w:hAnsi="仿宋_GB2312" w:eastAsia="仿宋_GB2312" w:cs="仿宋_GB2312"/>
          <w:color w:val="auto"/>
          <w:kern w:val="0"/>
          <w:sz w:val="21"/>
          <w:szCs w:val="21"/>
          <w:highlight w:val="none"/>
          <w:lang w:eastAsia="en-US"/>
        </w:rPr>
      </w:pPr>
      <w:bookmarkStart w:id="9" w:name="_Toc19515395"/>
      <w:r>
        <w:rPr>
          <w:rFonts w:hint="eastAsia" w:ascii="仿宋_GB2312" w:hAnsi="仿宋_GB2312" w:eastAsia="仿宋_GB2312" w:cs="仿宋_GB2312"/>
          <w:color w:val="auto"/>
          <w:kern w:val="0"/>
          <w:sz w:val="21"/>
          <w:szCs w:val="21"/>
          <w:highlight w:val="none"/>
          <w:lang w:eastAsia="en-US"/>
        </w:rPr>
        <w:t>十、合同生效及其它</w:t>
      </w:r>
      <w:bookmarkEnd w:id="9"/>
    </w:p>
    <w:p w14:paraId="08AB3476">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1、合同未尽事宜、由甲、乙双方协商，作为合同补充，与原合同具有同等法律效力。</w:t>
      </w:r>
    </w:p>
    <w:p w14:paraId="2BF0CAA7">
      <w:pPr>
        <w:keepNext w:val="0"/>
        <w:keepLines w:val="0"/>
        <w:pageBreakBefore w:val="0"/>
        <w:widowControl/>
        <w:tabs>
          <w:tab w:val="left" w:pos="8391"/>
        </w:tabs>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2、 本合同正本一式</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lang w:eastAsia="en-US"/>
        </w:rPr>
        <w:t>份，甲方、乙方双方分别执</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lang w:eastAsia="en-US"/>
        </w:rPr>
        <w:t>份，</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lang w:eastAsia="en-US"/>
        </w:rPr>
        <w:t>备案</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lang w:eastAsia="en-US"/>
        </w:rPr>
        <w:t>份。</w:t>
      </w:r>
    </w:p>
    <w:p w14:paraId="64164CB4">
      <w:pPr>
        <w:keepNext w:val="0"/>
        <w:keepLines w:val="0"/>
        <w:pageBreakBefore w:val="0"/>
        <w:widowControl/>
        <w:tabs>
          <w:tab w:val="left" w:pos="8391"/>
        </w:tabs>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3、合同经甲乙双方盖章、签字后生效，合同签订地点为</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lang w:eastAsia="en-US"/>
        </w:rPr>
        <w:t>。</w:t>
      </w:r>
    </w:p>
    <w:p w14:paraId="0BD560C1">
      <w:pPr>
        <w:keepNext w:val="0"/>
        <w:keepLines w:val="0"/>
        <w:pageBreakBefore w:val="0"/>
        <w:widowControl/>
        <w:tabs>
          <w:tab w:val="left" w:pos="8391"/>
        </w:tabs>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4、生效时间：</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lang w:eastAsia="en-US"/>
        </w:rPr>
        <w:t>年</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lang w:eastAsia="en-US"/>
        </w:rPr>
        <w:t>月</w:t>
      </w:r>
      <w:r>
        <w:rPr>
          <w:rFonts w:hint="eastAsia" w:ascii="仿宋_GB2312" w:hAnsi="仿宋_GB2312" w:eastAsia="仿宋_GB2312" w:cs="仿宋_GB2312"/>
          <w:color w:val="auto"/>
          <w:kern w:val="0"/>
          <w:sz w:val="21"/>
          <w:szCs w:val="21"/>
          <w:highlight w:val="none"/>
          <w:u w:val="single"/>
          <w:lang w:eastAsia="en-US"/>
        </w:rPr>
        <w:t xml:space="preserve">  </w:t>
      </w:r>
      <w:r>
        <w:rPr>
          <w:rFonts w:hint="eastAsia" w:ascii="仿宋_GB2312" w:hAnsi="仿宋_GB2312" w:eastAsia="仿宋_GB2312" w:cs="仿宋_GB2312"/>
          <w:color w:val="auto"/>
          <w:kern w:val="0"/>
          <w:sz w:val="21"/>
          <w:szCs w:val="21"/>
          <w:highlight w:val="none"/>
          <w:lang w:eastAsia="en-US"/>
        </w:rPr>
        <w:t>日</w:t>
      </w:r>
    </w:p>
    <w:p w14:paraId="047A0C33">
      <w:pPr>
        <w:keepNext w:val="0"/>
        <w:keepLines w:val="0"/>
        <w:pageBreakBefore w:val="0"/>
        <w:widowControl/>
        <w:tabs>
          <w:tab w:val="left" w:pos="8391"/>
        </w:tabs>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p>
    <w:tbl>
      <w:tblPr>
        <w:tblStyle w:val="8"/>
        <w:tblW w:w="0" w:type="auto"/>
        <w:jc w:val="center"/>
        <w:tblLayout w:type="fixed"/>
        <w:tblCellMar>
          <w:top w:w="0" w:type="dxa"/>
          <w:left w:w="108" w:type="dxa"/>
          <w:bottom w:w="0" w:type="dxa"/>
          <w:right w:w="108" w:type="dxa"/>
        </w:tblCellMar>
      </w:tblPr>
      <w:tblGrid>
        <w:gridCol w:w="4643"/>
        <w:gridCol w:w="4643"/>
      </w:tblGrid>
      <w:tr w14:paraId="0574C5EA">
        <w:tblPrEx>
          <w:tblCellMar>
            <w:top w:w="0" w:type="dxa"/>
            <w:left w:w="108" w:type="dxa"/>
            <w:bottom w:w="0" w:type="dxa"/>
            <w:right w:w="108" w:type="dxa"/>
          </w:tblCellMar>
        </w:tblPrEx>
        <w:trPr>
          <w:jc w:val="center"/>
        </w:trPr>
        <w:tc>
          <w:tcPr>
            <w:tcW w:w="4643" w:type="dxa"/>
          </w:tcPr>
          <w:p w14:paraId="4DD1EC22">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甲方名称</w:t>
            </w:r>
            <w:r>
              <w:rPr>
                <w:rFonts w:hint="eastAsia" w:ascii="仿宋_GB2312" w:hAnsi="仿宋_GB2312" w:eastAsia="仿宋_GB2312" w:cs="仿宋_GB2312"/>
                <w:color w:val="auto"/>
                <w:spacing w:val="-20"/>
                <w:kern w:val="0"/>
                <w:sz w:val="21"/>
                <w:szCs w:val="21"/>
                <w:highlight w:val="none"/>
                <w:lang w:eastAsia="en-US"/>
              </w:rPr>
              <w:t>（盖章）</w:t>
            </w:r>
            <w:r>
              <w:rPr>
                <w:rFonts w:hint="eastAsia" w:ascii="仿宋_GB2312" w:hAnsi="仿宋_GB2312" w:eastAsia="仿宋_GB2312" w:cs="仿宋_GB2312"/>
                <w:color w:val="auto"/>
                <w:kern w:val="0"/>
                <w:sz w:val="21"/>
                <w:szCs w:val="21"/>
                <w:highlight w:val="none"/>
                <w:lang w:eastAsia="en-US"/>
              </w:rPr>
              <w:t>:</w:t>
            </w:r>
          </w:p>
          <w:p w14:paraId="6343A23C">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地址：</w:t>
            </w:r>
          </w:p>
          <w:p w14:paraId="7EDB11BC">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代表人（签字）：</w:t>
            </w:r>
          </w:p>
          <w:p w14:paraId="355F532F">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电话：</w:t>
            </w:r>
          </w:p>
          <w:p w14:paraId="6388536E">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开户银行：</w:t>
            </w:r>
          </w:p>
          <w:p w14:paraId="44810FC8">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账号：</w:t>
            </w:r>
          </w:p>
        </w:tc>
        <w:tc>
          <w:tcPr>
            <w:tcW w:w="4643" w:type="dxa"/>
          </w:tcPr>
          <w:p w14:paraId="27846079">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乙方名称</w:t>
            </w:r>
            <w:r>
              <w:rPr>
                <w:rFonts w:hint="eastAsia" w:ascii="仿宋_GB2312" w:hAnsi="仿宋_GB2312" w:eastAsia="仿宋_GB2312" w:cs="仿宋_GB2312"/>
                <w:color w:val="auto"/>
                <w:spacing w:val="-20"/>
                <w:kern w:val="0"/>
                <w:sz w:val="21"/>
                <w:szCs w:val="21"/>
                <w:highlight w:val="none"/>
                <w:lang w:eastAsia="en-US"/>
              </w:rPr>
              <w:t>（盖章）</w:t>
            </w:r>
            <w:r>
              <w:rPr>
                <w:rFonts w:hint="eastAsia" w:ascii="仿宋_GB2312" w:hAnsi="仿宋_GB2312" w:eastAsia="仿宋_GB2312" w:cs="仿宋_GB2312"/>
                <w:color w:val="auto"/>
                <w:kern w:val="0"/>
                <w:sz w:val="21"/>
                <w:szCs w:val="21"/>
                <w:highlight w:val="none"/>
                <w:lang w:eastAsia="en-US"/>
              </w:rPr>
              <w:t>:</w:t>
            </w:r>
          </w:p>
          <w:p w14:paraId="63529CFB">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地址：</w:t>
            </w:r>
          </w:p>
          <w:p w14:paraId="7BE60943">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代表人（签字）：</w:t>
            </w:r>
          </w:p>
          <w:p w14:paraId="41053EFB">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电话：</w:t>
            </w:r>
          </w:p>
          <w:p w14:paraId="16912FA9">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开户银行：</w:t>
            </w:r>
          </w:p>
          <w:p w14:paraId="2B4A6FC1">
            <w:pPr>
              <w:keepNext w:val="0"/>
              <w:keepLines w:val="0"/>
              <w:pageBreakBefore w:val="0"/>
              <w:widowControl/>
              <w:kinsoku/>
              <w:wordWrap/>
              <w:overflowPunct/>
              <w:topLinePunct w:val="0"/>
              <w:autoSpaceDE w:val="0"/>
              <w:autoSpaceDN w:val="0"/>
              <w:bidi w:val="0"/>
              <w:snapToGrid w:val="0"/>
              <w:spacing w:after="200" w:line="240" w:lineRule="auto"/>
              <w:ind w:right="0" w:firstLine="420" w:firstLineChars="200"/>
              <w:jc w:val="left"/>
              <w:textAlignment w:val="bottom"/>
              <w:rPr>
                <w:rFonts w:hint="eastAsia" w:ascii="仿宋_GB2312" w:hAnsi="仿宋_GB2312" w:eastAsia="仿宋_GB2312" w:cs="仿宋_GB2312"/>
                <w:color w:val="auto"/>
                <w:kern w:val="0"/>
                <w:sz w:val="21"/>
                <w:szCs w:val="21"/>
                <w:highlight w:val="none"/>
                <w:lang w:eastAsia="en-US"/>
              </w:rPr>
            </w:pPr>
            <w:r>
              <w:rPr>
                <w:rFonts w:hint="eastAsia" w:ascii="仿宋_GB2312" w:hAnsi="仿宋_GB2312" w:eastAsia="仿宋_GB2312" w:cs="仿宋_GB2312"/>
                <w:color w:val="auto"/>
                <w:kern w:val="0"/>
                <w:sz w:val="21"/>
                <w:szCs w:val="21"/>
                <w:highlight w:val="none"/>
                <w:lang w:eastAsia="en-US"/>
              </w:rPr>
              <w:t>账号：</w:t>
            </w:r>
          </w:p>
        </w:tc>
      </w:tr>
    </w:tbl>
    <w:p w14:paraId="73A82B6C">
      <w:pPr>
        <w:rPr>
          <w:rFonts w:hint="eastAsia" w:ascii="Calibri" w:hAnsi="Calibri" w:eastAsia="宋体" w:cs="Times New Roman"/>
          <w:color w:val="auto"/>
          <w:lang w:val="en-US" w:eastAsia="zh-Hans"/>
        </w:rPr>
      </w:pPr>
    </w:p>
    <w:p w14:paraId="04D3AB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B0BE4"/>
    <w:rsid w:val="03C77E99"/>
    <w:rsid w:val="0561174D"/>
    <w:rsid w:val="09DC6F2A"/>
    <w:rsid w:val="17093264"/>
    <w:rsid w:val="18300B23"/>
    <w:rsid w:val="1D2366AB"/>
    <w:rsid w:val="21C02D6D"/>
    <w:rsid w:val="21CD532C"/>
    <w:rsid w:val="25774AEE"/>
    <w:rsid w:val="265754CC"/>
    <w:rsid w:val="2755784B"/>
    <w:rsid w:val="29B7714B"/>
    <w:rsid w:val="2A09202A"/>
    <w:rsid w:val="2B57116C"/>
    <w:rsid w:val="2BAD6E75"/>
    <w:rsid w:val="2D012D2F"/>
    <w:rsid w:val="2DC047AC"/>
    <w:rsid w:val="30BA290D"/>
    <w:rsid w:val="35E02BBA"/>
    <w:rsid w:val="3BD50F16"/>
    <w:rsid w:val="3F7B0BE4"/>
    <w:rsid w:val="3FA639A6"/>
    <w:rsid w:val="40563691"/>
    <w:rsid w:val="432B57DF"/>
    <w:rsid w:val="469B0D50"/>
    <w:rsid w:val="4C334E7A"/>
    <w:rsid w:val="578318F4"/>
    <w:rsid w:val="59B63CDD"/>
    <w:rsid w:val="5AD92379"/>
    <w:rsid w:val="62F04E50"/>
    <w:rsid w:val="688E376F"/>
    <w:rsid w:val="6B9E2823"/>
    <w:rsid w:val="6D2055BE"/>
    <w:rsid w:val="6FA403B2"/>
    <w:rsid w:val="701C10C4"/>
    <w:rsid w:val="788F3C1F"/>
    <w:rsid w:val="7B165BB8"/>
    <w:rsid w:val="7B3972D8"/>
    <w:rsid w:val="7BB1183B"/>
    <w:rsid w:val="7D311748"/>
    <w:rsid w:val="7F9E2999"/>
    <w:rsid w:val="7FC52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4">
    <w:name w:val="heading 1"/>
    <w:basedOn w:val="1"/>
    <w:next w:val="1"/>
    <w:link w:val="11"/>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5">
    <w:name w:val="heading 2"/>
    <w:basedOn w:val="1"/>
    <w:next w:val="1"/>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line="360" w:lineRule="auto"/>
    </w:pPr>
    <w:rPr>
      <w:rFonts w:ascii="Tahoma" w:hAnsi="Tahoma"/>
    </w:rPr>
  </w:style>
  <w:style w:type="paragraph" w:styleId="7">
    <w:name w:val="Body Text Indent 2"/>
    <w:basedOn w:val="1"/>
    <w:qFormat/>
    <w:uiPriority w:val="0"/>
    <w:pPr>
      <w:ind w:left="555"/>
    </w:pPr>
    <w:rPr>
      <w:sz w:val="28"/>
      <w:szCs w:val="20"/>
    </w:rPr>
  </w:style>
  <w:style w:type="paragraph" w:customStyle="1" w:styleId="10">
    <w:name w:val="正文2"/>
    <w:basedOn w:val="1"/>
    <w:qFormat/>
    <w:uiPriority w:val="0"/>
    <w:pPr>
      <w:ind w:firstLine="562" w:firstLineChars="200"/>
      <w:jc w:val="left"/>
    </w:pPr>
    <w:rPr>
      <w:rFonts w:hint="eastAsia"/>
    </w:rPr>
  </w:style>
  <w:style w:type="character" w:customStyle="1" w:styleId="11">
    <w:name w:val="标题 1 Char"/>
    <w:link w:val="4"/>
    <w:qFormat/>
    <w:uiPriority w:val="0"/>
    <w:rPr>
      <w:rFonts w:ascii="Times New Roman" w:hAnsi="Times New Roman" w:eastAsia="宋体" w:cs="Times New Roman"/>
      <w:b/>
      <w:kern w:val="44"/>
      <w:sz w:val="32"/>
      <w:szCs w:val="21"/>
    </w:rPr>
  </w:style>
  <w:style w:type="character" w:customStyle="1" w:styleId="12">
    <w:name w:val="标题 2 Char"/>
    <w:link w:val="5"/>
    <w:qFormat/>
    <w:uiPriority w:val="9"/>
    <w:rPr>
      <w:rFonts w:ascii="Cambria" w:hAnsi="Cambria" w:eastAsia="宋体" w:cs="Times New Roman"/>
      <w:b/>
      <w:bCs/>
      <w:kern w:val="0"/>
      <w:sz w:val="28"/>
      <w:szCs w:val="32"/>
    </w:rPr>
  </w:style>
  <w:style w:type="character" w:customStyle="1" w:styleId="13">
    <w:name w:val="标题 3 字符"/>
    <w:link w:val="6"/>
    <w:qFormat/>
    <w:uiPriority w:val="0"/>
    <w:rPr>
      <w:rFonts w:ascii="Times New Roman" w:hAnsi="Times New Roman" w:eastAsia="宋体" w:cs="Times New Roman"/>
      <w:b/>
      <w:bCs/>
      <w:sz w:val="32"/>
      <w:szCs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正文1"/>
    <w:basedOn w:val="1"/>
    <w:qFormat/>
    <w:uiPriority w:val="0"/>
    <w:pPr>
      <w:autoSpaceDE w:val="0"/>
      <w:autoSpaceDN w:val="0"/>
      <w:adjustRightInd w:val="0"/>
      <w:spacing w:line="288" w:lineRule="auto"/>
      <w:ind w:firstLine="480"/>
      <w:textAlignment w:val="baseline"/>
    </w:pPr>
    <w:rPr>
      <w:rFonts w:ascii="宋体"/>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2014</Words>
  <Characters>2047</Characters>
  <Lines>0</Lines>
  <Paragraphs>0</Paragraphs>
  <TotalTime>0</TotalTime>
  <ScaleCrop>false</ScaleCrop>
  <LinksUpToDate>false</LinksUpToDate>
  <CharactersWithSpaces>2225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2024-12-03T10:23:00Z</dcterms:created>
  <dc:creator>罗永山</dc:creator>
  <cp:lastModifiedBy>Administrator</cp:lastModifiedBy>
  <dcterms:modified xsi:type="dcterms:W3CDTF">2025-11-27T06:30:01Z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66FC0BCAD7394252B43FB19C237F7107_11</vt:lpwstr>
  </property>
  <property fmtid="{D5CDD505-2E9C-101B-9397-08002B2CF9AE}" pid="4" name="KSOTemplateDocerSaveRecord">
    <vt:lpwstr>eyJoZGlkIjoiZDU3NDQxYWM0MTczYjBhMzlmYjdkYmMwMzBhMmYwMWMiLCJ1c2VySWQiOiIyNTQ0OTA1OTQifQ==</vt:lpwstr>
  </property>
</Properties>
</file>