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40F2C0">
      <w:pPr>
        <w:pStyle w:val="4"/>
        <w:jc w:val="center"/>
        <w:rPr>
          <w:rFonts w:ascii="仿宋" w:hAnsi="仿宋" w:eastAsia="仿宋" w:cs="仿宋"/>
          <w:color w:val="auto"/>
          <w:highlight w:val="none"/>
        </w:rPr>
      </w:pPr>
      <w:r>
        <w:rPr>
          <w:rFonts w:hint="eastAsia" w:ascii="仿宋" w:hAnsi="仿宋" w:eastAsia="仿宋" w:cs="仿宋"/>
          <w:b/>
          <w:bCs/>
          <w:color w:val="auto"/>
          <w:sz w:val="28"/>
          <w:szCs w:val="36"/>
          <w:highlight w:val="none"/>
        </w:rPr>
        <w:t>技术偏离表</w:t>
      </w:r>
    </w:p>
    <w:p w14:paraId="1B6E8F71">
      <w:pPr>
        <w:pStyle w:val="2"/>
        <w:rPr>
          <w:rFonts w:hint="eastAsia" w:ascii="仿宋" w:hAnsi="仿宋" w:eastAsia="仿宋" w:cs="仿宋"/>
          <w:color w:val="auto"/>
          <w:sz w:val="24"/>
          <w:highlight w:val="none"/>
        </w:rPr>
      </w:pPr>
      <w:r>
        <w:rPr>
          <w:rFonts w:hint="eastAsia" w:ascii="仿宋" w:hAnsi="仿宋" w:eastAsia="仿宋" w:cs="仿宋"/>
          <w:color w:val="auto"/>
          <w:sz w:val="24"/>
          <w:highlight w:val="none"/>
        </w:rPr>
        <w:t>项目编号：</w:t>
      </w:r>
    </w:p>
    <w:p w14:paraId="37830A25">
      <w:pPr>
        <w:pStyle w:val="2"/>
        <w:rPr>
          <w:rFonts w:hint="eastAsia" w:ascii="仿宋" w:hAnsi="仿宋" w:eastAsia="仿宋" w:cs="仿宋"/>
          <w:color w:val="auto"/>
          <w:highlight w:val="none"/>
          <w:lang w:eastAsia="zh-CN"/>
        </w:rPr>
      </w:pPr>
      <w:r>
        <w:rPr>
          <w:rFonts w:hint="eastAsia" w:ascii="仿宋" w:hAnsi="仿宋" w:eastAsia="仿宋" w:cs="仿宋"/>
          <w:color w:val="auto"/>
          <w:sz w:val="24"/>
          <w:highlight w:val="none"/>
        </w:rPr>
        <w:t>项目名称：</w:t>
      </w:r>
    </w:p>
    <w:tbl>
      <w:tblPr>
        <w:tblStyle w:val="5"/>
        <w:tblW w:w="4998"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108" w:type="dxa"/>
          <w:bottom w:w="0" w:type="dxa"/>
          <w:right w:w="108" w:type="dxa"/>
        </w:tblCellMar>
      </w:tblPr>
      <w:tblGrid>
        <w:gridCol w:w="895"/>
        <w:gridCol w:w="1500"/>
        <w:gridCol w:w="2231"/>
        <w:gridCol w:w="1819"/>
        <w:gridCol w:w="2074"/>
      </w:tblGrid>
      <w:tr w14:paraId="19766F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525" w:type="pct"/>
            <w:vAlign w:val="center"/>
          </w:tcPr>
          <w:p w14:paraId="5C133745">
            <w:pPr>
              <w:spacing w:line="400" w:lineRule="exact"/>
              <w:jc w:val="center"/>
              <w:rPr>
                <w:rFonts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880" w:type="pct"/>
            <w:vAlign w:val="center"/>
          </w:tcPr>
          <w:p w14:paraId="54C49AAD">
            <w:pPr>
              <w:spacing w:line="400" w:lineRule="exact"/>
              <w:jc w:val="center"/>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标的名称</w:t>
            </w:r>
          </w:p>
        </w:tc>
        <w:tc>
          <w:tcPr>
            <w:tcW w:w="1309" w:type="pct"/>
            <w:vAlign w:val="center"/>
          </w:tcPr>
          <w:p w14:paraId="427FD49E">
            <w:pPr>
              <w:spacing w:line="400" w:lineRule="exact"/>
              <w:jc w:val="center"/>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磋商文件要求</w:t>
            </w:r>
          </w:p>
        </w:tc>
        <w:tc>
          <w:tcPr>
            <w:tcW w:w="1067" w:type="pct"/>
            <w:vAlign w:val="center"/>
          </w:tcPr>
          <w:p w14:paraId="66AE34B5">
            <w:pPr>
              <w:spacing w:line="400" w:lineRule="exac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rPr>
              <w:t>偏离</w:t>
            </w:r>
            <w:r>
              <w:rPr>
                <w:rFonts w:hint="eastAsia" w:ascii="仿宋" w:hAnsi="仿宋" w:eastAsia="仿宋" w:cs="仿宋"/>
                <w:color w:val="auto"/>
                <w:sz w:val="24"/>
                <w:highlight w:val="none"/>
                <w:lang w:val="en-US" w:eastAsia="zh-CN"/>
              </w:rPr>
              <w:t>情况</w:t>
            </w:r>
          </w:p>
        </w:tc>
        <w:tc>
          <w:tcPr>
            <w:tcW w:w="1217" w:type="pct"/>
            <w:vAlign w:val="center"/>
          </w:tcPr>
          <w:p w14:paraId="2510AEB9">
            <w:pPr>
              <w:spacing w:line="400" w:lineRule="exact"/>
              <w:jc w:val="center"/>
              <w:rPr>
                <w:rFonts w:ascii="仿宋" w:hAnsi="仿宋" w:eastAsia="仿宋" w:cs="仿宋"/>
                <w:color w:val="auto"/>
                <w:sz w:val="24"/>
                <w:highlight w:val="none"/>
              </w:rPr>
            </w:pPr>
            <w:r>
              <w:rPr>
                <w:rFonts w:hint="eastAsia" w:ascii="仿宋" w:hAnsi="仿宋" w:eastAsia="仿宋" w:cs="仿宋"/>
                <w:color w:val="auto"/>
                <w:sz w:val="24"/>
                <w:highlight w:val="none"/>
              </w:rPr>
              <w:t>偏离简述</w:t>
            </w:r>
          </w:p>
        </w:tc>
      </w:tr>
      <w:tr w14:paraId="0BB4A1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525" w:type="pct"/>
          </w:tcPr>
          <w:p w14:paraId="52B4A7ED">
            <w:pPr>
              <w:spacing w:line="400" w:lineRule="exact"/>
              <w:rPr>
                <w:rFonts w:ascii="仿宋" w:hAnsi="仿宋" w:eastAsia="仿宋" w:cs="仿宋"/>
                <w:color w:val="auto"/>
                <w:sz w:val="24"/>
                <w:highlight w:val="none"/>
              </w:rPr>
            </w:pPr>
          </w:p>
        </w:tc>
        <w:tc>
          <w:tcPr>
            <w:tcW w:w="880" w:type="pct"/>
          </w:tcPr>
          <w:p w14:paraId="7170C149">
            <w:pPr>
              <w:spacing w:line="400" w:lineRule="exact"/>
              <w:rPr>
                <w:rFonts w:ascii="仿宋" w:hAnsi="仿宋" w:eastAsia="仿宋" w:cs="仿宋"/>
                <w:color w:val="auto"/>
                <w:sz w:val="24"/>
                <w:highlight w:val="none"/>
              </w:rPr>
            </w:pPr>
          </w:p>
        </w:tc>
        <w:tc>
          <w:tcPr>
            <w:tcW w:w="1309" w:type="pct"/>
          </w:tcPr>
          <w:p w14:paraId="6EFBF978">
            <w:pPr>
              <w:spacing w:line="400" w:lineRule="exact"/>
              <w:rPr>
                <w:rFonts w:ascii="仿宋" w:hAnsi="仿宋" w:eastAsia="仿宋" w:cs="仿宋"/>
                <w:color w:val="auto"/>
                <w:sz w:val="24"/>
                <w:highlight w:val="none"/>
              </w:rPr>
            </w:pPr>
          </w:p>
        </w:tc>
        <w:tc>
          <w:tcPr>
            <w:tcW w:w="1067" w:type="pct"/>
          </w:tcPr>
          <w:p w14:paraId="3663656D">
            <w:pPr>
              <w:spacing w:line="400" w:lineRule="exact"/>
              <w:rPr>
                <w:rFonts w:ascii="仿宋" w:hAnsi="仿宋" w:eastAsia="仿宋" w:cs="仿宋"/>
                <w:color w:val="auto"/>
                <w:sz w:val="24"/>
                <w:highlight w:val="none"/>
              </w:rPr>
            </w:pPr>
          </w:p>
        </w:tc>
        <w:tc>
          <w:tcPr>
            <w:tcW w:w="1217" w:type="pct"/>
          </w:tcPr>
          <w:p w14:paraId="29DDC58E">
            <w:pPr>
              <w:spacing w:line="400" w:lineRule="exact"/>
              <w:rPr>
                <w:rFonts w:ascii="仿宋" w:hAnsi="仿宋" w:eastAsia="仿宋" w:cs="仿宋"/>
                <w:color w:val="auto"/>
                <w:sz w:val="24"/>
                <w:highlight w:val="none"/>
              </w:rPr>
            </w:pPr>
          </w:p>
        </w:tc>
      </w:tr>
      <w:tr w14:paraId="346AD1F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525" w:type="pct"/>
          </w:tcPr>
          <w:p w14:paraId="5A1068C0">
            <w:pPr>
              <w:spacing w:line="400" w:lineRule="exact"/>
              <w:rPr>
                <w:rFonts w:ascii="仿宋" w:hAnsi="仿宋" w:eastAsia="仿宋" w:cs="仿宋"/>
                <w:color w:val="auto"/>
                <w:sz w:val="24"/>
                <w:highlight w:val="none"/>
              </w:rPr>
            </w:pPr>
          </w:p>
        </w:tc>
        <w:tc>
          <w:tcPr>
            <w:tcW w:w="880" w:type="pct"/>
          </w:tcPr>
          <w:p w14:paraId="25247C31">
            <w:pPr>
              <w:spacing w:line="400" w:lineRule="exact"/>
              <w:rPr>
                <w:rFonts w:ascii="仿宋" w:hAnsi="仿宋" w:eastAsia="仿宋" w:cs="仿宋"/>
                <w:color w:val="auto"/>
                <w:sz w:val="24"/>
                <w:highlight w:val="none"/>
              </w:rPr>
            </w:pPr>
          </w:p>
        </w:tc>
        <w:tc>
          <w:tcPr>
            <w:tcW w:w="1309" w:type="pct"/>
          </w:tcPr>
          <w:p w14:paraId="16712CFB">
            <w:pPr>
              <w:spacing w:line="400" w:lineRule="exact"/>
              <w:rPr>
                <w:rFonts w:ascii="仿宋" w:hAnsi="仿宋" w:eastAsia="仿宋" w:cs="仿宋"/>
                <w:color w:val="auto"/>
                <w:sz w:val="24"/>
                <w:highlight w:val="none"/>
              </w:rPr>
            </w:pPr>
          </w:p>
        </w:tc>
        <w:tc>
          <w:tcPr>
            <w:tcW w:w="1067" w:type="pct"/>
          </w:tcPr>
          <w:p w14:paraId="2F5E93A5">
            <w:pPr>
              <w:spacing w:line="400" w:lineRule="exact"/>
              <w:rPr>
                <w:rFonts w:ascii="仿宋" w:hAnsi="仿宋" w:eastAsia="仿宋" w:cs="仿宋"/>
                <w:color w:val="auto"/>
                <w:sz w:val="24"/>
                <w:highlight w:val="none"/>
              </w:rPr>
            </w:pPr>
          </w:p>
        </w:tc>
        <w:tc>
          <w:tcPr>
            <w:tcW w:w="1217" w:type="pct"/>
          </w:tcPr>
          <w:p w14:paraId="7A898EB4">
            <w:pPr>
              <w:spacing w:line="400" w:lineRule="exact"/>
              <w:rPr>
                <w:rFonts w:ascii="仿宋" w:hAnsi="仿宋" w:eastAsia="仿宋" w:cs="仿宋"/>
                <w:color w:val="auto"/>
                <w:sz w:val="24"/>
                <w:highlight w:val="none"/>
              </w:rPr>
            </w:pPr>
          </w:p>
        </w:tc>
      </w:tr>
      <w:tr w14:paraId="76EAE9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525" w:type="pct"/>
          </w:tcPr>
          <w:p w14:paraId="3EFBEEE1">
            <w:pPr>
              <w:spacing w:line="400" w:lineRule="exact"/>
              <w:rPr>
                <w:rFonts w:ascii="仿宋" w:hAnsi="仿宋" w:eastAsia="仿宋" w:cs="仿宋"/>
                <w:color w:val="auto"/>
                <w:sz w:val="24"/>
                <w:highlight w:val="none"/>
              </w:rPr>
            </w:pPr>
          </w:p>
        </w:tc>
        <w:tc>
          <w:tcPr>
            <w:tcW w:w="880" w:type="pct"/>
          </w:tcPr>
          <w:p w14:paraId="40EA555B">
            <w:pPr>
              <w:spacing w:line="400" w:lineRule="exact"/>
              <w:rPr>
                <w:rFonts w:ascii="仿宋" w:hAnsi="仿宋" w:eastAsia="仿宋" w:cs="仿宋"/>
                <w:color w:val="auto"/>
                <w:sz w:val="24"/>
                <w:highlight w:val="none"/>
              </w:rPr>
            </w:pPr>
          </w:p>
        </w:tc>
        <w:tc>
          <w:tcPr>
            <w:tcW w:w="1309" w:type="pct"/>
          </w:tcPr>
          <w:p w14:paraId="628540E8">
            <w:pPr>
              <w:spacing w:line="400" w:lineRule="exact"/>
              <w:rPr>
                <w:rFonts w:ascii="仿宋" w:hAnsi="仿宋" w:eastAsia="仿宋" w:cs="仿宋"/>
                <w:color w:val="auto"/>
                <w:sz w:val="24"/>
                <w:highlight w:val="none"/>
              </w:rPr>
            </w:pPr>
          </w:p>
        </w:tc>
        <w:tc>
          <w:tcPr>
            <w:tcW w:w="1067" w:type="pct"/>
          </w:tcPr>
          <w:p w14:paraId="32606D60">
            <w:pPr>
              <w:spacing w:line="400" w:lineRule="exact"/>
              <w:rPr>
                <w:rFonts w:ascii="仿宋" w:hAnsi="仿宋" w:eastAsia="仿宋" w:cs="仿宋"/>
                <w:color w:val="auto"/>
                <w:sz w:val="24"/>
                <w:highlight w:val="none"/>
              </w:rPr>
            </w:pPr>
          </w:p>
        </w:tc>
        <w:tc>
          <w:tcPr>
            <w:tcW w:w="1217" w:type="pct"/>
          </w:tcPr>
          <w:p w14:paraId="71C0FA35">
            <w:pPr>
              <w:spacing w:line="400" w:lineRule="exact"/>
              <w:rPr>
                <w:rFonts w:ascii="仿宋" w:hAnsi="仿宋" w:eastAsia="仿宋" w:cs="仿宋"/>
                <w:color w:val="auto"/>
                <w:sz w:val="24"/>
                <w:highlight w:val="none"/>
              </w:rPr>
            </w:pPr>
          </w:p>
        </w:tc>
      </w:tr>
      <w:tr w14:paraId="389934F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525" w:type="pct"/>
          </w:tcPr>
          <w:p w14:paraId="4B65D673">
            <w:pPr>
              <w:spacing w:line="400" w:lineRule="exact"/>
              <w:rPr>
                <w:rFonts w:ascii="仿宋" w:hAnsi="仿宋" w:eastAsia="仿宋" w:cs="仿宋"/>
                <w:color w:val="auto"/>
                <w:sz w:val="24"/>
                <w:highlight w:val="none"/>
              </w:rPr>
            </w:pPr>
          </w:p>
        </w:tc>
        <w:tc>
          <w:tcPr>
            <w:tcW w:w="880" w:type="pct"/>
          </w:tcPr>
          <w:p w14:paraId="7DD44B3C">
            <w:pPr>
              <w:spacing w:line="400" w:lineRule="exact"/>
              <w:rPr>
                <w:rFonts w:ascii="仿宋" w:hAnsi="仿宋" w:eastAsia="仿宋" w:cs="仿宋"/>
                <w:color w:val="auto"/>
                <w:sz w:val="24"/>
                <w:highlight w:val="none"/>
              </w:rPr>
            </w:pPr>
          </w:p>
        </w:tc>
        <w:tc>
          <w:tcPr>
            <w:tcW w:w="1309" w:type="pct"/>
          </w:tcPr>
          <w:p w14:paraId="53EC1BCD">
            <w:pPr>
              <w:spacing w:line="400" w:lineRule="exact"/>
              <w:rPr>
                <w:rFonts w:ascii="仿宋" w:hAnsi="仿宋" w:eastAsia="仿宋" w:cs="仿宋"/>
                <w:color w:val="auto"/>
                <w:sz w:val="24"/>
                <w:highlight w:val="none"/>
              </w:rPr>
            </w:pPr>
          </w:p>
        </w:tc>
        <w:tc>
          <w:tcPr>
            <w:tcW w:w="1067" w:type="pct"/>
          </w:tcPr>
          <w:p w14:paraId="18A1724C">
            <w:pPr>
              <w:spacing w:line="400" w:lineRule="exact"/>
              <w:rPr>
                <w:rFonts w:ascii="仿宋" w:hAnsi="仿宋" w:eastAsia="仿宋" w:cs="仿宋"/>
                <w:color w:val="auto"/>
                <w:sz w:val="24"/>
                <w:highlight w:val="none"/>
              </w:rPr>
            </w:pPr>
          </w:p>
        </w:tc>
        <w:tc>
          <w:tcPr>
            <w:tcW w:w="1217" w:type="pct"/>
          </w:tcPr>
          <w:p w14:paraId="071C909F">
            <w:pPr>
              <w:spacing w:line="400" w:lineRule="exact"/>
              <w:rPr>
                <w:rFonts w:ascii="仿宋" w:hAnsi="仿宋" w:eastAsia="仿宋" w:cs="仿宋"/>
                <w:color w:val="auto"/>
                <w:sz w:val="24"/>
                <w:highlight w:val="none"/>
              </w:rPr>
            </w:pPr>
          </w:p>
        </w:tc>
      </w:tr>
      <w:tr w14:paraId="6767C2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525" w:type="pct"/>
          </w:tcPr>
          <w:p w14:paraId="32BE7D69">
            <w:pPr>
              <w:spacing w:line="400" w:lineRule="exact"/>
              <w:rPr>
                <w:rFonts w:ascii="仿宋" w:hAnsi="仿宋" w:eastAsia="仿宋" w:cs="仿宋"/>
                <w:color w:val="auto"/>
                <w:sz w:val="24"/>
                <w:highlight w:val="none"/>
              </w:rPr>
            </w:pPr>
          </w:p>
        </w:tc>
        <w:tc>
          <w:tcPr>
            <w:tcW w:w="880" w:type="pct"/>
          </w:tcPr>
          <w:p w14:paraId="11B4FF52">
            <w:pPr>
              <w:spacing w:line="400" w:lineRule="exact"/>
              <w:rPr>
                <w:rFonts w:ascii="仿宋" w:hAnsi="仿宋" w:eastAsia="仿宋" w:cs="仿宋"/>
                <w:color w:val="auto"/>
                <w:sz w:val="24"/>
                <w:highlight w:val="none"/>
              </w:rPr>
            </w:pPr>
          </w:p>
        </w:tc>
        <w:tc>
          <w:tcPr>
            <w:tcW w:w="1309" w:type="pct"/>
          </w:tcPr>
          <w:p w14:paraId="53EC7DAE">
            <w:pPr>
              <w:spacing w:line="400" w:lineRule="exact"/>
              <w:rPr>
                <w:rFonts w:ascii="仿宋" w:hAnsi="仿宋" w:eastAsia="仿宋" w:cs="仿宋"/>
                <w:color w:val="auto"/>
                <w:sz w:val="24"/>
                <w:highlight w:val="none"/>
              </w:rPr>
            </w:pPr>
          </w:p>
        </w:tc>
        <w:tc>
          <w:tcPr>
            <w:tcW w:w="1067" w:type="pct"/>
          </w:tcPr>
          <w:p w14:paraId="7A72D137">
            <w:pPr>
              <w:spacing w:line="400" w:lineRule="exact"/>
              <w:rPr>
                <w:rFonts w:ascii="仿宋" w:hAnsi="仿宋" w:eastAsia="仿宋" w:cs="仿宋"/>
                <w:color w:val="auto"/>
                <w:sz w:val="24"/>
                <w:highlight w:val="none"/>
              </w:rPr>
            </w:pPr>
          </w:p>
        </w:tc>
        <w:tc>
          <w:tcPr>
            <w:tcW w:w="1217" w:type="pct"/>
          </w:tcPr>
          <w:p w14:paraId="0D26AF6D">
            <w:pPr>
              <w:spacing w:line="400" w:lineRule="exact"/>
              <w:rPr>
                <w:rFonts w:ascii="仿宋" w:hAnsi="仿宋" w:eastAsia="仿宋" w:cs="仿宋"/>
                <w:color w:val="auto"/>
                <w:sz w:val="24"/>
                <w:highlight w:val="none"/>
              </w:rPr>
            </w:pPr>
          </w:p>
        </w:tc>
      </w:tr>
      <w:tr w14:paraId="5A5B64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525" w:type="pct"/>
          </w:tcPr>
          <w:p w14:paraId="66C4408F">
            <w:pPr>
              <w:spacing w:line="400" w:lineRule="exact"/>
              <w:rPr>
                <w:rFonts w:ascii="仿宋" w:hAnsi="仿宋" w:eastAsia="仿宋" w:cs="仿宋"/>
                <w:color w:val="auto"/>
                <w:sz w:val="24"/>
                <w:highlight w:val="none"/>
              </w:rPr>
            </w:pPr>
          </w:p>
        </w:tc>
        <w:tc>
          <w:tcPr>
            <w:tcW w:w="880" w:type="pct"/>
          </w:tcPr>
          <w:p w14:paraId="7EA28861">
            <w:pPr>
              <w:spacing w:line="400" w:lineRule="exact"/>
              <w:rPr>
                <w:rFonts w:ascii="仿宋" w:hAnsi="仿宋" w:eastAsia="仿宋" w:cs="仿宋"/>
                <w:bCs/>
                <w:color w:val="auto"/>
                <w:sz w:val="24"/>
                <w:highlight w:val="none"/>
              </w:rPr>
            </w:pPr>
          </w:p>
        </w:tc>
        <w:tc>
          <w:tcPr>
            <w:tcW w:w="1309" w:type="pct"/>
          </w:tcPr>
          <w:p w14:paraId="41C35DBC">
            <w:pPr>
              <w:spacing w:line="400" w:lineRule="exact"/>
              <w:rPr>
                <w:rFonts w:ascii="仿宋" w:hAnsi="仿宋" w:eastAsia="仿宋" w:cs="仿宋"/>
                <w:color w:val="auto"/>
                <w:sz w:val="24"/>
                <w:highlight w:val="none"/>
              </w:rPr>
            </w:pPr>
          </w:p>
        </w:tc>
        <w:tc>
          <w:tcPr>
            <w:tcW w:w="1067" w:type="pct"/>
          </w:tcPr>
          <w:p w14:paraId="4E926A2C">
            <w:pPr>
              <w:spacing w:line="400" w:lineRule="exact"/>
              <w:rPr>
                <w:rFonts w:ascii="仿宋" w:hAnsi="仿宋" w:eastAsia="仿宋" w:cs="仿宋"/>
                <w:color w:val="auto"/>
                <w:sz w:val="24"/>
                <w:highlight w:val="none"/>
              </w:rPr>
            </w:pPr>
          </w:p>
        </w:tc>
        <w:tc>
          <w:tcPr>
            <w:tcW w:w="1217" w:type="pct"/>
          </w:tcPr>
          <w:p w14:paraId="32B6F574">
            <w:pPr>
              <w:spacing w:line="400" w:lineRule="exact"/>
              <w:rPr>
                <w:rFonts w:ascii="仿宋" w:hAnsi="仿宋" w:eastAsia="仿宋" w:cs="仿宋"/>
                <w:color w:val="auto"/>
                <w:sz w:val="24"/>
                <w:highlight w:val="none"/>
              </w:rPr>
            </w:pPr>
          </w:p>
        </w:tc>
      </w:tr>
      <w:tr w14:paraId="4513BB9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525" w:type="pct"/>
          </w:tcPr>
          <w:p w14:paraId="763CDB5D">
            <w:pPr>
              <w:spacing w:line="400" w:lineRule="exact"/>
              <w:rPr>
                <w:rFonts w:ascii="仿宋" w:hAnsi="仿宋" w:eastAsia="仿宋" w:cs="仿宋"/>
                <w:color w:val="auto"/>
                <w:sz w:val="24"/>
                <w:highlight w:val="none"/>
              </w:rPr>
            </w:pPr>
          </w:p>
        </w:tc>
        <w:tc>
          <w:tcPr>
            <w:tcW w:w="880" w:type="pct"/>
          </w:tcPr>
          <w:p w14:paraId="50F1E971">
            <w:pPr>
              <w:spacing w:line="400" w:lineRule="exact"/>
              <w:rPr>
                <w:rFonts w:ascii="仿宋" w:hAnsi="仿宋" w:eastAsia="仿宋" w:cs="仿宋"/>
                <w:bCs/>
                <w:color w:val="auto"/>
                <w:sz w:val="24"/>
                <w:highlight w:val="none"/>
              </w:rPr>
            </w:pPr>
          </w:p>
        </w:tc>
        <w:tc>
          <w:tcPr>
            <w:tcW w:w="1309" w:type="pct"/>
          </w:tcPr>
          <w:p w14:paraId="419F85A8">
            <w:pPr>
              <w:spacing w:line="400" w:lineRule="exact"/>
              <w:rPr>
                <w:rFonts w:ascii="仿宋" w:hAnsi="仿宋" w:eastAsia="仿宋" w:cs="仿宋"/>
                <w:color w:val="auto"/>
                <w:sz w:val="24"/>
                <w:highlight w:val="none"/>
              </w:rPr>
            </w:pPr>
          </w:p>
        </w:tc>
        <w:tc>
          <w:tcPr>
            <w:tcW w:w="1067" w:type="pct"/>
          </w:tcPr>
          <w:p w14:paraId="0E9E68AB">
            <w:pPr>
              <w:spacing w:line="400" w:lineRule="exact"/>
              <w:rPr>
                <w:rFonts w:ascii="仿宋" w:hAnsi="仿宋" w:eastAsia="仿宋" w:cs="仿宋"/>
                <w:color w:val="auto"/>
                <w:sz w:val="24"/>
                <w:highlight w:val="none"/>
              </w:rPr>
            </w:pPr>
          </w:p>
        </w:tc>
        <w:tc>
          <w:tcPr>
            <w:tcW w:w="1217" w:type="pct"/>
          </w:tcPr>
          <w:p w14:paraId="0D58D766">
            <w:pPr>
              <w:spacing w:line="400" w:lineRule="exact"/>
              <w:rPr>
                <w:rFonts w:ascii="仿宋" w:hAnsi="仿宋" w:eastAsia="仿宋" w:cs="仿宋"/>
                <w:color w:val="auto"/>
                <w:sz w:val="24"/>
                <w:highlight w:val="none"/>
              </w:rPr>
            </w:pPr>
          </w:p>
        </w:tc>
      </w:tr>
    </w:tbl>
    <w:p w14:paraId="6631E5C8">
      <w:pPr>
        <w:spacing w:before="120" w:after="120" w:line="360" w:lineRule="auto"/>
        <w:ind w:firstLine="480" w:firstLineChars="200"/>
        <w:rPr>
          <w:rFonts w:ascii="仿宋" w:hAnsi="仿宋" w:eastAsia="仿宋" w:cs="仿宋"/>
          <w:color w:val="auto"/>
          <w:sz w:val="24"/>
          <w:highlight w:val="none"/>
          <w:u w:val="single"/>
        </w:rPr>
      </w:pPr>
      <w:r>
        <w:rPr>
          <w:rFonts w:hint="eastAsia" w:ascii="仿宋" w:hAnsi="仿宋" w:eastAsia="仿宋" w:cs="仿宋"/>
          <w:color w:val="auto"/>
          <w:sz w:val="24"/>
          <w:highlight w:val="none"/>
        </w:rPr>
        <w:t xml:space="preserve">供应商（公章）： </w:t>
      </w:r>
      <w:r>
        <w:rPr>
          <w:rFonts w:hint="eastAsia" w:ascii="仿宋" w:hAnsi="仿宋" w:eastAsia="仿宋" w:cs="仿宋"/>
          <w:color w:val="auto"/>
          <w:sz w:val="24"/>
          <w:highlight w:val="none"/>
          <w:u w:val="single"/>
        </w:rPr>
        <w:t xml:space="preserve">              </w:t>
      </w:r>
    </w:p>
    <w:p w14:paraId="48E3CB4E">
      <w:pPr>
        <w:spacing w:before="120" w:after="120" w:line="360" w:lineRule="auto"/>
        <w:ind w:firstLine="480" w:firstLineChars="200"/>
        <w:rPr>
          <w:rFonts w:ascii="仿宋" w:hAnsi="仿宋" w:eastAsia="仿宋" w:cs="仿宋"/>
          <w:color w:val="auto"/>
          <w:sz w:val="24"/>
          <w:highlight w:val="none"/>
          <w:u w:val="single"/>
        </w:rPr>
      </w:pPr>
      <w:r>
        <w:rPr>
          <w:rFonts w:hint="eastAsia" w:ascii="仿宋" w:hAnsi="仿宋" w:eastAsia="仿宋" w:cs="仿宋"/>
          <w:color w:val="auto"/>
          <w:sz w:val="24"/>
          <w:highlight w:val="none"/>
        </w:rPr>
        <w:t>法定代表人（或单位负责人）或其授权代表（签字或盖章）：</w:t>
      </w:r>
      <w:r>
        <w:rPr>
          <w:rFonts w:hint="eastAsia" w:ascii="仿宋" w:hAnsi="仿宋" w:eastAsia="仿宋" w:cs="仿宋"/>
          <w:color w:val="auto"/>
          <w:sz w:val="24"/>
          <w:highlight w:val="none"/>
          <w:u w:val="single"/>
        </w:rPr>
        <w:t xml:space="preserve">                  </w:t>
      </w:r>
    </w:p>
    <w:p w14:paraId="0F748A6A">
      <w:pPr>
        <w:spacing w:before="120" w:after="120"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69383B5E">
      <w:pPr>
        <w:spacing w:line="360" w:lineRule="auto"/>
        <w:rPr>
          <w:rFonts w:ascii="仿宋" w:hAnsi="仿宋" w:eastAsia="仿宋" w:cs="仿宋"/>
          <w:color w:val="auto"/>
          <w:highlight w:val="none"/>
        </w:rPr>
      </w:pPr>
    </w:p>
    <w:p w14:paraId="3E0DE13B">
      <w:pPr>
        <w:keepNext w:val="0"/>
        <w:keepLines w:val="0"/>
        <w:pageBreakBefore w:val="0"/>
        <w:widowControl w:val="0"/>
        <w:kinsoku/>
        <w:wordWrap/>
        <w:overflowPunct/>
        <w:topLinePunct w:val="0"/>
        <w:autoSpaceDE/>
        <w:autoSpaceDN/>
        <w:bidi w:val="0"/>
        <w:adjustRightInd/>
        <w:snapToGrid w:val="0"/>
        <w:spacing w:line="360" w:lineRule="auto"/>
        <w:ind w:left="0" w:leftChars="0" w:firstLine="420" w:firstLineChars="200"/>
        <w:textAlignment w:val="auto"/>
        <w:rPr>
          <w:rFonts w:ascii="仿宋" w:hAnsi="仿宋" w:eastAsia="仿宋" w:cs="仿宋"/>
          <w:color w:val="auto"/>
          <w:highlight w:val="none"/>
        </w:rPr>
      </w:pPr>
      <w:r>
        <w:rPr>
          <w:rFonts w:hint="eastAsia" w:ascii="仿宋" w:hAnsi="仿宋" w:eastAsia="仿宋" w:cs="仿宋"/>
          <w:color w:val="auto"/>
          <w:highlight w:val="none"/>
        </w:rPr>
        <w:t>注：1</w:t>
      </w:r>
      <w:r>
        <w:rPr>
          <w:rFonts w:hint="eastAsia" w:ascii="仿宋" w:hAnsi="仿宋" w:eastAsia="仿宋" w:cs="仿宋"/>
          <w:color w:val="auto"/>
          <w:highlight w:val="none"/>
          <w:lang w:eastAsia="zh-CN"/>
        </w:rPr>
        <w:t>、</w:t>
      </w:r>
      <w:r>
        <w:rPr>
          <w:rFonts w:hint="eastAsia" w:ascii="仿宋" w:hAnsi="仿宋" w:eastAsia="仿宋" w:cs="仿宋"/>
          <w:color w:val="auto"/>
          <w:highlight w:val="none"/>
        </w:rPr>
        <w:t>对完全响应的，在本表偏离情况中标注“完全响应”。对有偏离的，在本表偏离情况中标注“正偏离”或“负偏离”。并在“偏离简述”栏中加以说明。</w:t>
      </w:r>
    </w:p>
    <w:p w14:paraId="104286DA">
      <w:pPr>
        <w:keepNext w:val="0"/>
        <w:keepLines w:val="0"/>
        <w:pageBreakBefore w:val="0"/>
        <w:widowControl w:val="0"/>
        <w:tabs>
          <w:tab w:val="left" w:pos="1200"/>
        </w:tabs>
        <w:kinsoku/>
        <w:wordWrap/>
        <w:overflowPunct/>
        <w:topLinePunct w:val="0"/>
        <w:autoSpaceDE/>
        <w:autoSpaceDN/>
        <w:bidi w:val="0"/>
        <w:adjustRightInd/>
        <w:snapToGrid w:val="0"/>
        <w:spacing w:line="360" w:lineRule="auto"/>
        <w:ind w:left="0" w:leftChars="0" w:firstLine="420" w:firstLineChars="200"/>
        <w:textAlignment w:val="auto"/>
        <w:rPr>
          <w:rFonts w:ascii="仿宋" w:hAnsi="仿宋" w:eastAsia="仿宋" w:cs="仿宋"/>
          <w:color w:val="auto"/>
          <w:highlight w:val="none"/>
        </w:rPr>
      </w:pPr>
      <w:r>
        <w:rPr>
          <w:rFonts w:hint="eastAsia" w:ascii="仿宋" w:hAnsi="仿宋" w:eastAsia="仿宋" w:cs="仿宋"/>
          <w:color w:val="auto"/>
          <w:highlight w:val="none"/>
        </w:rPr>
        <w:t>2.</w:t>
      </w:r>
      <w:r>
        <w:rPr>
          <w:rFonts w:hint="eastAsia" w:ascii="仿宋" w:hAnsi="仿宋" w:eastAsia="仿宋" w:cs="仿宋"/>
          <w:color w:val="auto"/>
          <w:highlight w:val="none"/>
          <w:lang w:eastAsia="zh-CN"/>
        </w:rPr>
        <w:t>、</w:t>
      </w:r>
      <w:r>
        <w:rPr>
          <w:rFonts w:hint="eastAsia" w:ascii="仿宋" w:hAnsi="仿宋" w:eastAsia="仿宋" w:cs="仿宋"/>
          <w:color w:val="auto"/>
          <w:highlight w:val="none"/>
        </w:rPr>
        <w:t>正偏离是指应答的条件高于磋商文件要求，负偏离是指应答的条件低于磋商文件要求。</w:t>
      </w:r>
    </w:p>
    <w:p w14:paraId="3808D191">
      <w:pPr>
        <w:keepNext w:val="0"/>
        <w:keepLines w:val="0"/>
        <w:pageBreakBefore w:val="0"/>
        <w:widowControl w:val="0"/>
        <w:tabs>
          <w:tab w:val="left" w:pos="1200"/>
        </w:tabs>
        <w:kinsoku/>
        <w:wordWrap/>
        <w:overflowPunct/>
        <w:topLinePunct w:val="0"/>
        <w:autoSpaceDE/>
        <w:autoSpaceDN/>
        <w:bidi w:val="0"/>
        <w:adjustRightInd/>
        <w:snapToGrid w:val="0"/>
        <w:spacing w:line="360" w:lineRule="auto"/>
        <w:ind w:left="0" w:leftChars="0" w:firstLine="420" w:firstLineChars="200"/>
        <w:textAlignment w:val="auto"/>
        <w:rPr>
          <w:rFonts w:hint="eastAsia" w:ascii="仿宋" w:hAnsi="仿宋" w:eastAsia="仿宋" w:cs="仿宋"/>
          <w:color w:val="auto"/>
          <w:highlight w:val="none"/>
        </w:rPr>
      </w:pPr>
      <w:r>
        <w:rPr>
          <w:rFonts w:hint="eastAsia" w:ascii="仿宋" w:hAnsi="仿宋" w:eastAsia="仿宋" w:cs="仿宋"/>
          <w:color w:val="auto"/>
          <w:highlight w:val="none"/>
        </w:rPr>
        <w:t>3</w:t>
      </w:r>
      <w:r>
        <w:rPr>
          <w:rFonts w:hint="eastAsia" w:ascii="仿宋" w:hAnsi="仿宋" w:eastAsia="仿宋" w:cs="仿宋"/>
          <w:color w:val="auto"/>
          <w:highlight w:val="none"/>
          <w:lang w:eastAsia="zh-CN"/>
        </w:rPr>
        <w:t>、</w:t>
      </w:r>
      <w:r>
        <w:rPr>
          <w:rFonts w:hint="eastAsia" w:ascii="仿宋" w:hAnsi="仿宋" w:eastAsia="仿宋" w:cs="仿宋"/>
          <w:color w:val="auto"/>
          <w:highlight w:val="none"/>
        </w:rPr>
        <w:t>供应商按照</w:t>
      </w:r>
      <w:r>
        <w:rPr>
          <w:rFonts w:hint="eastAsia" w:ascii="仿宋" w:hAnsi="仿宋" w:eastAsia="仿宋" w:cs="仿宋"/>
          <w:color w:val="auto"/>
          <w:highlight w:val="none"/>
          <w:lang w:val="en-US" w:eastAsia="zh-CN"/>
        </w:rPr>
        <w:t>技术</w:t>
      </w:r>
      <w:r>
        <w:rPr>
          <w:rFonts w:hint="eastAsia" w:ascii="仿宋" w:hAnsi="仿宋" w:eastAsia="仿宋" w:cs="仿宋"/>
          <w:color w:val="auto"/>
          <w:highlight w:val="none"/>
        </w:rPr>
        <w:t>要求逐条完整填写响应表。如果未完整填写响应表的各项内容则视作供应商已经对磋商文件相关要求和内容完全理解并同意，其报价为在此基础上的完全价格。</w:t>
      </w:r>
    </w:p>
    <w:p w14:paraId="3B73B711">
      <w:pPr>
        <w:keepNext w:val="0"/>
        <w:keepLines w:val="0"/>
        <w:pageBreakBefore w:val="0"/>
        <w:widowControl w:val="0"/>
        <w:tabs>
          <w:tab w:val="left" w:pos="1200"/>
        </w:tabs>
        <w:kinsoku/>
        <w:wordWrap/>
        <w:overflowPunct/>
        <w:topLinePunct w:val="0"/>
        <w:autoSpaceDE/>
        <w:autoSpaceDN/>
        <w:bidi w:val="0"/>
        <w:adjustRightInd/>
        <w:snapToGrid w:val="0"/>
        <w:spacing w:line="360" w:lineRule="auto"/>
        <w:ind w:left="0" w:leftChars="0" w:firstLine="420" w:firstLineChars="200"/>
        <w:textAlignment w:val="auto"/>
      </w:pPr>
      <w:r>
        <w:rPr>
          <w:rFonts w:hint="eastAsia" w:ascii="仿宋" w:hAnsi="仿宋" w:eastAsia="仿宋" w:cs="仿宋"/>
          <w:color w:val="auto"/>
          <w:highlight w:val="none"/>
        </w:rPr>
        <w:t>4</w:t>
      </w:r>
      <w:r>
        <w:rPr>
          <w:rFonts w:hint="eastAsia" w:ascii="仿宋" w:hAnsi="仿宋" w:eastAsia="仿宋" w:cs="仿宋"/>
          <w:color w:val="auto"/>
          <w:highlight w:val="none"/>
          <w:lang w:eastAsia="zh-CN"/>
        </w:rPr>
        <w:t>、</w:t>
      </w:r>
      <w:r>
        <w:rPr>
          <w:rFonts w:hint="eastAsia" w:ascii="仿宋" w:hAnsi="仿宋" w:eastAsia="仿宋" w:cs="仿宋"/>
          <w:color w:val="auto"/>
          <w:highlight w:val="none"/>
        </w:rPr>
        <w:t>在采购人与成交供应商签订合同时，如成交供应商未在响应文件“响应表”中列出偏离说明，无论即将发生或已发生任何情形，均视为完全符合</w:t>
      </w:r>
      <w:bookmarkStart w:id="0" w:name="_GoBack"/>
      <w:bookmarkEnd w:id="0"/>
      <w:r>
        <w:rPr>
          <w:rFonts w:hint="eastAsia" w:ascii="仿宋" w:hAnsi="仿宋" w:eastAsia="仿宋" w:cs="仿宋"/>
          <w:color w:val="auto"/>
          <w:highlight w:val="none"/>
        </w:rPr>
        <w:t>磋商文件要求，并写入合同。若成交供应商在合同签订前，以上述事项为借口而不履行合同签订手续及执行合同，则视作拒绝与采购人签订合同。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4C6E68"/>
    <w:rsid w:val="09CD0A4B"/>
    <w:rsid w:val="1B171B26"/>
    <w:rsid w:val="1D1A58FD"/>
    <w:rsid w:val="1E733517"/>
    <w:rsid w:val="21CF4F08"/>
    <w:rsid w:val="2B1F7673"/>
    <w:rsid w:val="2D856DA1"/>
    <w:rsid w:val="369619AD"/>
    <w:rsid w:val="44FF7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4">
    <w:name w:val="heading 3"/>
    <w:basedOn w:val="1"/>
    <w:next w:val="1"/>
    <w:qFormat/>
    <w:uiPriority w:val="99"/>
    <w:pPr>
      <w:tabs>
        <w:tab w:val="left" w:pos="588"/>
      </w:tabs>
      <w:spacing w:line="360" w:lineRule="auto"/>
      <w:outlineLvl w:val="2"/>
    </w:pPr>
    <w:rPr>
      <w:rFonts w:ascii="Tahoma" w:hAnsi="Tahoma"/>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pPr>
      <w:spacing w:line="360" w:lineRule="auto"/>
    </w:pPr>
    <w:rPr>
      <w:rFonts w:ascii="Tahoma" w:hAnsi="Tahom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2025-01-02T09:38:04Z</dcterms:created>
  <dc:creator>Administrator</dc:creator>
  <cp:lastModifiedBy>Jun</cp:lastModifiedBy>
  <dcterms:modified xsi:type="dcterms:W3CDTF">2025-01-02T09:42:16Z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eyJoZGlkIjoiZDU3NDQxYWM0MTczYjBhMzlmYjdkYmMwMzBhMmYwMWMiLCJ1c2VySWQiOiIyNTQ0OTA1OTQifQ==</vt:lpwstr>
  </property>
  <property fmtid="{D5CDD505-2E9C-101B-9397-08002B2CF9AE}" pid="4" name="ICV">
    <vt:lpwstr>36764FC4B51C4D1ABFF29F1A3FDD7743_12</vt:lpwstr>
  </property>
</Properties>
</file>