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版本号：CGZC-2025-213（ZR20GN2025-XJ-066)20251104001</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2025年冬季供暖燃油采购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CGZC-2025-213（ZR20GN2025-XJ-066)</w:t>
      </w:r>
      <w:r>
        <w:br/>
      </w:r>
      <w:r>
        <w:br/>
      </w:r>
      <w:r>
        <w:br/>
      </w:r>
    </w:p>
    <w:p>
      <w:pPr>
        <w:pStyle w:val="null3"/>
        <w:jc w:val="center"/>
        <w:outlineLvl w:val="2"/>
      </w:pPr>
      <w:r>
        <w:rPr>
          <w:rFonts w:ascii="仿宋_GB2312" w:hAnsi="仿宋_GB2312" w:cs="仿宋_GB2312" w:eastAsia="仿宋_GB2312"/>
          <w:sz w:val="28"/>
          <w:b/>
        </w:rPr>
        <w:t>新合街道办事处</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新合街道办事处</w:t>
      </w:r>
      <w:r>
        <w:rPr>
          <w:rFonts w:ascii="仿宋_GB2312" w:hAnsi="仿宋_GB2312" w:cs="仿宋_GB2312" w:eastAsia="仿宋_GB2312"/>
        </w:rPr>
        <w:t>委托，拟对</w:t>
      </w:r>
      <w:r>
        <w:rPr>
          <w:rFonts w:ascii="仿宋_GB2312" w:hAnsi="仿宋_GB2312" w:cs="仿宋_GB2312" w:eastAsia="仿宋_GB2312"/>
        </w:rPr>
        <w:t>2025年冬季供暖燃油采购</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CGZC-2025-213（ZR20GN2025-XJ-066)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2025年冬季供暖燃油采购</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新合街道办事处冬季供暖燃油采购，具体详见询价文件。</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询价的，应提供法定代表人或单位负责人身份证明；授权代表参加询价的，应提供法定代表人或单位负责人身份证明、授权委托书及授权代表在本单的社保缴纳证明。</w:t>
      </w:r>
    </w:p>
    <w:p>
      <w:pPr>
        <w:pStyle w:val="null3"/>
      </w:pPr>
      <w:r>
        <w:rPr>
          <w:rFonts w:ascii="仿宋_GB2312" w:hAnsi="仿宋_GB2312" w:cs="仿宋_GB2312" w:eastAsia="仿宋_GB2312"/>
        </w:rPr>
        <w:t>2、信用记录：供应商在递交询价响应文件截止时间前被“信用中国”网站（www.creditchina.gov.cn）和中国政府采购网（www.ccgp.gov.cn）上被列入失信被执行人、重大税收违法失信主体、政府采购严重违法失信行为记录名单的，不得参加询价。</w:t>
      </w:r>
    </w:p>
    <w:p>
      <w:pPr>
        <w:pStyle w:val="null3"/>
      </w:pPr>
      <w:r>
        <w:rPr>
          <w:rFonts w:ascii="仿宋_GB2312" w:hAnsi="仿宋_GB2312" w:cs="仿宋_GB2312" w:eastAsia="仿宋_GB2312"/>
        </w:rPr>
        <w:t>3、企业资质：供应商具有有效的《危险化学品经营许可证》。</w:t>
      </w:r>
    </w:p>
    <w:p>
      <w:pPr>
        <w:pStyle w:val="null3"/>
      </w:pPr>
      <w:r>
        <w:rPr>
          <w:rFonts w:ascii="仿宋_GB2312" w:hAnsi="仿宋_GB2312" w:cs="仿宋_GB2312" w:eastAsia="仿宋_GB2312"/>
        </w:rPr>
        <w:t>4、企业证书：供应商具有有效的成品油零售经营批准证书或成品油批发企业备案回执。</w:t>
      </w:r>
    </w:p>
    <w:p>
      <w:pPr>
        <w:pStyle w:val="null3"/>
      </w:pPr>
      <w:r>
        <w:rPr>
          <w:rFonts w:ascii="仿宋_GB2312" w:hAnsi="仿宋_GB2312" w:cs="仿宋_GB2312" w:eastAsia="仿宋_GB2312"/>
        </w:rPr>
        <w:t>5、联合体：本项目不接受联合体。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新合街道办事处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西安市灞桥区新合街道24号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029-83417996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张经理、王经理</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代理服务费收费标准：1、成交单位在领取成交通知书前，须向采购代理机构支付服务费。2、服务费由采购人与采购代理机构约定为固定金额：人民币壹万贰仟柒佰伍拾元整（12750.00元）。 3、成交单位的代理服务费交纳信息 银行户名：陕西中润国际招标有限公司 开户银行：中信银行西安曲江池北路支行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新合街道办事处</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新合街道办事处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1、货物到货后，由采购人与成交供应商共同进行验收，验收内容包括货物品牌、规格、数量及产地与合同要求的一致性。 2、成交供应商应提供所供柴油的检测证等其他可以证明柴油质量合格的证明。</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新合街道办事处冬季供暖燃油采购，具体详见询价文件。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冬季供暖燃油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标的名称：冬季供暖燃油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采购内容（包括采购品目、规格和数量）</w:t>
            </w:r>
          </w:p>
          <w:tbl>
            <w:tblPr>
              <w:tblBorders>
                <w:top w:val="none" w:color="000000" w:sz="4"/>
                <w:left w:val="none" w:color="000000" w:sz="4"/>
                <w:bottom w:val="none" w:color="000000" w:sz="4"/>
                <w:right w:val="none" w:color="000000" w:sz="4"/>
                <w:insideH w:val="none"/>
                <w:insideV w:val="none"/>
              </w:tblBorders>
            </w:tblPr>
            <w:tblGrid>
              <w:gridCol w:w="336"/>
              <w:gridCol w:w="709"/>
              <w:gridCol w:w="746"/>
              <w:gridCol w:w="762"/>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规格/牌号</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冬季供暖燃油</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（核心产品）0号国标柴油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共计约100t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技术要求（包括对产品的认证、检验报告等）</w:t>
            </w:r>
          </w:p>
          <w:p>
            <w:pPr>
              <w:pStyle w:val="null3"/>
            </w:pPr>
            <w:r>
              <w:rPr>
                <w:rFonts w:ascii="仿宋_GB2312" w:hAnsi="仿宋_GB2312" w:cs="仿宋_GB2312" w:eastAsia="仿宋_GB2312"/>
              </w:rPr>
              <w:t>1、所供柴油必须是符合国家有关部门正式批准的石油产品生产企业生产的0号国标柴油。所送柴油质量不能引起锅炉主机、油咀损坏以及其它安全隐患、事故。</w:t>
            </w:r>
          </w:p>
          <w:p>
            <w:pPr>
              <w:pStyle w:val="null3"/>
            </w:pPr>
            <w:r>
              <w:rPr>
                <w:rFonts w:ascii="仿宋_GB2312" w:hAnsi="仿宋_GB2312" w:cs="仿宋_GB2312" w:eastAsia="仿宋_GB2312"/>
              </w:rPr>
              <w:t>★2、为了确保安全，每次送柴油时，工作人员必须具有国家有关部门颁发的危险品货物运输的从业资格证、操作证，以确保供暖期安全，做到万无一失（委托第三方的须附委托协议，委托协议须体现具体日期）。</w:t>
            </w:r>
          </w:p>
          <w:p>
            <w:pPr>
              <w:pStyle w:val="null3"/>
            </w:pPr>
            <w:r>
              <w:rPr>
                <w:rFonts w:ascii="仿宋_GB2312" w:hAnsi="仿宋_GB2312" w:cs="仿宋_GB2312" w:eastAsia="仿宋_GB2312"/>
              </w:rPr>
              <w:t>3、供应商在合同服务期限内必须在接到采购人电话通知二十四小时之内将柴油送到采购人指定位置。</w:t>
            </w:r>
          </w:p>
          <w:p>
            <w:pPr>
              <w:pStyle w:val="null3"/>
            </w:pPr>
            <w:r>
              <w:rPr>
                <w:rFonts w:ascii="仿宋_GB2312" w:hAnsi="仿宋_GB2312" w:cs="仿宋_GB2312" w:eastAsia="仿宋_GB2312"/>
              </w:rPr>
              <w:t>4、采购人计量方法为按吨计算。柴油的周期为每3到5天送一次，每次进油大概为5吨左右。进油时，双方须有专人负责接收计量，计量办法按流量计算，具体换算办法以供应商提供质检报告单位含密度计算。</w:t>
            </w:r>
          </w:p>
          <w:p>
            <w:pPr>
              <w:pStyle w:val="null3"/>
            </w:pPr>
            <w:r>
              <w:rPr>
                <w:rFonts w:ascii="仿宋_GB2312" w:hAnsi="仿宋_GB2312" w:cs="仿宋_GB2312" w:eastAsia="仿宋_GB2312"/>
              </w:rPr>
              <w:t>5、供应商对所提供的柴油安全质量负责，并承担因质量问题引起的一切法律责任以及无条件赔偿因此给采购人造成的所有经济损失。</w:t>
            </w:r>
          </w:p>
          <w:p>
            <w:pPr>
              <w:pStyle w:val="null3"/>
            </w:pPr>
            <w:r>
              <w:rPr>
                <w:rFonts w:ascii="仿宋_GB2312" w:hAnsi="仿宋_GB2312" w:cs="仿宋_GB2312" w:eastAsia="仿宋_GB2312"/>
              </w:rPr>
              <w:t>6、油品的运输及加油相关安全责任均由供应商承担。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服务要求、质量验收标准或规范：</w:t>
            </w:r>
          </w:p>
          <w:p>
            <w:pPr>
              <w:pStyle w:val="null3"/>
            </w:pPr>
            <w:r>
              <w:rPr>
                <w:rFonts w:ascii="仿宋_GB2312" w:hAnsi="仿宋_GB2312" w:cs="仿宋_GB2312" w:eastAsia="仿宋_GB2312"/>
              </w:rPr>
              <w:t>1、货物性能稳定、具有较好的使用效果，质量保证措施完善，符合国家相关标准。</w:t>
            </w:r>
          </w:p>
          <w:p>
            <w:pPr>
              <w:pStyle w:val="null3"/>
            </w:pPr>
            <w:r>
              <w:rPr>
                <w:rFonts w:ascii="仿宋_GB2312" w:hAnsi="仿宋_GB2312" w:cs="仿宋_GB2312" w:eastAsia="仿宋_GB2312"/>
              </w:rPr>
              <w:t>★2、须达到0号国标柴油标准，附其合格证。</w:t>
            </w:r>
          </w:p>
          <w:p>
            <w:pPr>
              <w:pStyle w:val="null3"/>
            </w:pPr>
            <w:r>
              <w:rPr>
                <w:rFonts w:ascii="仿宋_GB2312" w:hAnsi="仿宋_GB2312" w:cs="仿宋_GB2312" w:eastAsia="仿宋_GB2312"/>
              </w:rPr>
              <w:t>★3、所供货物是经过国家法定检验、注册、准许市场销售的合法产品，并提供所响应柴油的油品检测合格报告。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一、供货期：2025年整个供暖季</w:t>
            </w:r>
          </w:p>
          <w:p>
            <w:pPr>
              <w:pStyle w:val="null3"/>
            </w:pPr>
            <w:r>
              <w:rPr>
                <w:rFonts w:ascii="仿宋_GB2312" w:hAnsi="仿宋_GB2312" w:cs="仿宋_GB2312" w:eastAsia="仿宋_GB2312"/>
              </w:rPr>
              <w:t>二、交货时间：供应商在合同服务期限内必须在接到采购人电话通知二十四小时之内将柴油送到采购人指定位置。</w:t>
            </w:r>
          </w:p>
          <w:p>
            <w:pPr>
              <w:pStyle w:val="null3"/>
            </w:pPr>
            <w:r>
              <w:rPr>
                <w:rFonts w:ascii="仿宋_GB2312" w:hAnsi="仿宋_GB2312" w:cs="仿宋_GB2312" w:eastAsia="仿宋_GB2312"/>
              </w:rPr>
              <w:t>三、款项结算：</w:t>
            </w:r>
          </w:p>
          <w:p>
            <w:pPr>
              <w:pStyle w:val="null3"/>
            </w:pPr>
            <w:r>
              <w:rPr>
                <w:rFonts w:ascii="仿宋_GB2312" w:hAnsi="仿宋_GB2312" w:cs="仿宋_GB2312" w:eastAsia="仿宋_GB2312"/>
              </w:rPr>
              <w:t>①据实结算，根据供应商供货当天0号国标柴油挂牌价、报价优惠率及供货量据实结算。</w:t>
            </w:r>
          </w:p>
          <w:p>
            <w:pPr>
              <w:pStyle w:val="null3"/>
            </w:pPr>
            <w:r>
              <w:rPr>
                <w:rFonts w:ascii="仿宋_GB2312" w:hAnsi="仿宋_GB2312" w:cs="仿宋_GB2312" w:eastAsia="仿宋_GB2312"/>
              </w:rPr>
              <w:t>②单次结算金额=【截止供货当天陕西省发改委最新发布的0号国标柴油挂牌价×（1-报价优惠率）】×所供柴油数量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最高限价：优惠率不超过100%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成交供应商在合同服务期限内必须在接到采购人电话通知二十四小时之内将柴油送到采购人指定位置。</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合同履行期限结束后，经采购人验收合格按照累计结算金额一次性将全款向成交供应商支付。（结算方式：①据实结算，根据乙方供货当天0 号国标柴油挂牌价、合同优惠率及供货量据实结算；②单次结算金额=【截止供货当天陕西省发改委最新发布的0号国标柴油挂牌价×（1-报价优惠率）】 ×单次所供柴油数量（吨））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1、货物性能稳定、具有较好的使用效果，质量保证措施完善，符合国家相关标准。 2、须达到0号国标柴油标准，附其合格证。 3、所供货物是经过国家法定检验、注册、准许市场销售的合法产品，并提供所响应柴油的油品检测合格报告。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货物（产品）属于国家规定的“三包产品”，产品制造商、经销代理商应遵守“三包”的规定，在产品发生质量问题时，及时对所提供产品实行“包退、包换、保修”服务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成交供应商不能按时供货，导致采购人设备不能正常供暖或因柴油的质量问题造成供暖中断的，成交供应商应按每日 1 万元向甲方支付违约金。2、成交供应商违约情况出现3 次以上或不能正常供暖超过 10 日以上的，则采购人有权解除合同，成交供应商应依采购人要求并按预算金额的 10%向采购人承担违约责任，并将工作资料和其他相关的资料一并移交采购人，成交供应商不得以任何理由拒绝或拖延提交有关资料，或提供不真实、不准确、不完整的资料。 解决争议的方法：双方本着友好合作的态度,对合同履行过程中发生的违约行为进行及时的协商解决,如不能协商解决可向采购人所在地人民法院诉讼解决。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3.5.1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王经理，029-88825655。 3.5.2本项目非专门面向中小企业。项目所属行业：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3.5.3落实政府采购政策：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市场监管总局关于调整优化节能产品、环境标志产品政府采购执行机制的通知》（财库〔2019〕9号）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2025年1月至今任意一个月已缴纳的完税凭证或税务机关开具的完税证明（任意税种）（银行出具的缴税凭证或税务机关出具的证明的复印件，并加盖本单位公章）。依法免税的供应商，应提供相应文件证明其依法免税。（3）提供供应商2025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法定代表人或单位负责人参加询价的，应提供法定代表人或单位负责人身份证明；授权代表参加询价的，应提供法定代表人或单位负责人身份证明、授权委托书及授权代表在本单的社保缴纳证明。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询价响应文件截止时间前被“信用中国”网站（www.creditchina.gov.cn）和中国政府采购网（www.ccgp.gov.cn）上被列入失信被执行人、重大税收违法失信主体、政府采购严重违法失信行为记录名单的，不得参加询价。</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供应商具有有效的《危险化学品经营许可证》。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企业证书</w:t>
            </w:r>
          </w:p>
        </w:tc>
        <w:tc>
          <w:tcPr>
            <w:tcW w:type="dxa" w:w="3322"/>
          </w:tcPr>
          <w:p>
            <w:pPr>
              <w:pStyle w:val="null3"/>
            </w:pPr>
            <w:r>
              <w:rPr>
                <w:rFonts w:ascii="仿宋_GB2312" w:hAnsi="仿宋_GB2312" w:cs="仿宋_GB2312" w:eastAsia="仿宋_GB2312"/>
              </w:rPr>
              <w:t>供应商具有有效的成品油零售经营批准证书或成品油批发企业备案回执。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符合询价文件有关签署、盖章要求</w:t>
            </w:r>
          </w:p>
        </w:tc>
        <w:tc>
          <w:tcPr>
            <w:tcW w:type="dxa" w:w="1661"/>
          </w:tcPr>
          <w:p>
            <w:pPr>
              <w:pStyle w:val="null3"/>
            </w:pPr>
            <w:r>
              <w:rPr>
                <w:rFonts w:ascii="仿宋_GB2312" w:hAnsi="仿宋_GB2312" w:cs="仿宋_GB2312" w:eastAsia="仿宋_GB2312"/>
              </w:rPr>
              <w:t>响应文件封面 政府采购供应商拒绝政府采购领域商业贿赂承诺书.docx 产品技术参数表 供应商应提交的相关资格证明材料.docx 商务应答表 标的清单 报价表 供应商报价一览表.docx 响应函 询价响应方案.docx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应符合询价文件要求</w:t>
            </w:r>
          </w:p>
        </w:tc>
        <w:tc>
          <w:tcPr>
            <w:tcW w:type="dxa" w:w="1661"/>
          </w:tcPr>
          <w:p>
            <w:pPr>
              <w:pStyle w:val="null3"/>
            </w:pPr>
            <w:r>
              <w:rPr>
                <w:rFonts w:ascii="仿宋_GB2312" w:hAnsi="仿宋_GB2312" w:cs="仿宋_GB2312" w:eastAsia="仿宋_GB2312"/>
              </w:rPr>
              <w:t>响应文件封面 政府采购供应商拒绝政府采购领域商业贿赂承诺书.docx 产品技术参数表 供应商应提交的相关资格证明材料.docx 商务应答表 标的清单 报价表 供应商报价一览表.docx 响应函 询价响应方案.docx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只能有一个有效报价，不得提交选择性报价，且报价不超出最高限价金额。</w:t>
            </w:r>
          </w:p>
        </w:tc>
        <w:tc>
          <w:tcPr>
            <w:tcW w:type="dxa" w:w="1661"/>
          </w:tcPr>
          <w:p>
            <w:pPr>
              <w:pStyle w:val="null3"/>
            </w:pPr>
            <w:r>
              <w:rPr>
                <w:rFonts w:ascii="仿宋_GB2312" w:hAnsi="仿宋_GB2312" w:cs="仿宋_GB2312" w:eastAsia="仿宋_GB2312"/>
              </w:rPr>
              <w:t>供应商报价一览表.docx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符合询价文件中的供货期</w:t>
            </w:r>
          </w:p>
        </w:tc>
        <w:tc>
          <w:tcPr>
            <w:tcW w:type="dxa" w:w="1661"/>
          </w:tcPr>
          <w:p>
            <w:pPr>
              <w:pStyle w:val="null3"/>
            </w:pPr>
            <w:r>
              <w:rPr>
                <w:rFonts w:ascii="仿宋_GB2312" w:hAnsi="仿宋_GB2312" w:cs="仿宋_GB2312" w:eastAsia="仿宋_GB2312"/>
              </w:rPr>
              <w:t>供应商报价一览表.docx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符合询价文件要求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应符合询价文件规定的其他实质性要求</w:t>
            </w:r>
          </w:p>
        </w:tc>
        <w:tc>
          <w:tcPr>
            <w:tcW w:type="dxa" w:w="1661"/>
          </w:tcPr>
          <w:p>
            <w:pPr>
              <w:pStyle w:val="null3"/>
            </w:pPr>
            <w:r>
              <w:rPr>
                <w:rFonts w:ascii="仿宋_GB2312" w:hAnsi="仿宋_GB2312" w:cs="仿宋_GB2312" w:eastAsia="仿宋_GB2312"/>
              </w:rPr>
              <w:t>政府采购供应商拒绝政府采购领域商业贿赂承诺书.docx</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预算金额×（1-优惠率）×（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一、代理机构在评审结束后2个工作日内将评审报告送采购人确认。</w:t>
      </w:r>
    </w:p>
    <w:p>
      <w:pPr>
        <w:pStyle w:val="null3"/>
      </w:pPr>
      <w:r>
        <w:rPr>
          <w:rFonts w:ascii="仿宋_GB2312" w:hAnsi="仿宋_GB2312" w:cs="仿宋_GB2312" w:eastAsia="仿宋_GB2312"/>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rFonts w:ascii="仿宋_GB2312" w:hAnsi="仿宋_GB2312" w:cs="仿宋_GB2312" w:eastAsia="仿宋_GB2312"/>
        </w:rPr>
        <w:t>三、成交候选供应商并列的，由采购人、询价小组随机抽取确定成交供应商。</w:t>
      </w:r>
    </w:p>
    <w:p>
      <w:pPr>
        <w:pStyle w:val="null3"/>
      </w:pPr>
      <w:r>
        <w:rPr>
          <w:rFonts w:ascii="仿宋_GB2312" w:hAnsi="仿宋_GB2312" w:cs="仿宋_GB2312" w:eastAsia="仿宋_GB2312"/>
        </w:rPr>
        <w:t>四、采购人逾期未确定成交供应商且不提出异议的，视为确定评审报告提出的报价最低的供应商为成交供应商。</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详见附件：供应商报价一览表.docx</w:t>
      </w:r>
    </w:p>
    <w:p>
      <w:pPr>
        <w:pStyle w:val="null3"/>
        <w:ind w:firstLine="960"/>
      </w:pPr>
      <w:r>
        <w:rPr>
          <w:rFonts w:ascii="仿宋_GB2312" w:hAnsi="仿宋_GB2312" w:cs="仿宋_GB2312" w:eastAsia="仿宋_GB2312"/>
        </w:rPr>
        <w:t>详见附件：询价响应方案.docx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