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984CE">
      <w:pPr>
        <w:jc w:val="center"/>
        <w:rPr>
          <w:rFonts w:ascii="仿宋_GB2312" w:hAnsi="仿宋_GB2312" w:eastAsia="仿宋_GB2312" w:cs="仿宋_GB2312"/>
          <w:b/>
          <w:sz w:val="36"/>
        </w:rPr>
      </w:pPr>
      <w:r>
        <w:rPr>
          <w:rFonts w:ascii="仿宋_GB2312" w:hAnsi="仿宋_GB2312" w:eastAsia="仿宋_GB2312" w:cs="仿宋_GB2312"/>
          <w:b/>
          <w:sz w:val="36"/>
        </w:rPr>
        <w:t>拟签订采购合同文本</w:t>
      </w:r>
    </w:p>
    <w:p w14:paraId="73DBB5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/>
        <w:textAlignment w:val="auto"/>
        <w:rPr>
          <w:rFonts w:hint="eastAsia" w:ascii="仿宋_GB2312" w:hAnsi="仿宋_GB2312" w:eastAsia="仿宋_GB2312" w:cs="仿宋_GB2312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发包方（甲方）：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    </w:t>
      </w:r>
    </w:p>
    <w:p w14:paraId="0EA0C5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承包方（乙方）：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    </w:t>
      </w:r>
    </w:p>
    <w:p w14:paraId="1B57A7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按照《中华人民共和国民法典》及相关法律法规，结合本工程具体情况，经甲、乙双方平等友好协商，双方自愿达成如下协议：</w:t>
      </w:r>
    </w:p>
    <w:p w14:paraId="20CD3DD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  <w:t>一、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工程概况</w:t>
      </w:r>
    </w:p>
    <w:p w14:paraId="1E36F128"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工程名称：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西安市浐灞第一小学食堂维修改造项目 </w:t>
      </w:r>
    </w:p>
    <w:p w14:paraId="1CDD9C9D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2.工程地点：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西安浐灞国际港浐灞一路1881号浐灞第一小学内 </w:t>
      </w:r>
    </w:p>
    <w:p w14:paraId="3948185C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3.承包范围：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</w:t>
      </w:r>
    </w:p>
    <w:p w14:paraId="43FBDE5A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4.工　　期：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</w:t>
      </w:r>
    </w:p>
    <w:p w14:paraId="340CA9DC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</w:rPr>
        <w:t>.工程质量：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>符合国家现行有关施工质量验收规范要求“合格”标准。</w:t>
      </w:r>
    </w:p>
    <w:p w14:paraId="370BED2F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.合同价款（含税）：</w:t>
      </w:r>
      <w:r>
        <w:rPr>
          <w:rFonts w:eastAsia="仿宋_GB2312"/>
          <w:bCs/>
          <w:color w:val="auto"/>
          <w:sz w:val="24"/>
          <w:highlight w:val="none"/>
        </w:rPr>
        <w:t>人民币（大写）</w:t>
      </w:r>
      <w:r>
        <w:rPr>
          <w:rFonts w:hint="eastAsia" w:eastAsia="仿宋_GB2312"/>
          <w:bCs/>
          <w:color w:val="auto"/>
          <w:sz w:val="24"/>
          <w:highlight w:val="none"/>
        </w:rPr>
        <w:t>：</w:t>
      </w:r>
      <w:r>
        <w:rPr>
          <w:rFonts w:hint="eastAsia" w:eastAsia="仿宋_GB2312"/>
          <w:bCs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eastAsia="仿宋_GB2312"/>
          <w:bCs/>
          <w:color w:val="auto"/>
          <w:sz w:val="24"/>
          <w:highlight w:val="none"/>
        </w:rPr>
        <w:t>(¥</w:t>
      </w:r>
      <w:r>
        <w:rPr>
          <w:rFonts w:hint="eastAsia" w:eastAsia="仿宋_GB2312"/>
          <w:bCs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eastAsia="仿宋_GB2312"/>
          <w:bCs/>
          <w:color w:val="auto"/>
          <w:sz w:val="24"/>
          <w:highlight w:val="none"/>
        </w:rPr>
        <w:t>元)</w:t>
      </w:r>
      <w:r>
        <w:rPr>
          <w:rFonts w:hint="eastAsia" w:eastAsia="仿宋_GB2312"/>
          <w:bCs/>
          <w:color w:val="auto"/>
          <w:sz w:val="24"/>
          <w:highlight w:val="none"/>
        </w:rPr>
        <w:t>，</w:t>
      </w:r>
    </w:p>
    <w:p w14:paraId="6FF2A6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/>
        <w:textAlignment w:val="auto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.合同价格形式：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固定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总价合同，合同价包括人工费、主辅材费、机械费、管理费、利润、风险费、场地清理及恢复费、垃圾清运费、成品保护费、检测费、调试费、措施费、税金以及磋商文件或合同明示或暗示的所有风险、责任和义务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所包含的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全部费用。</w:t>
      </w:r>
    </w:p>
    <w:p w14:paraId="59C0C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  <w:highlight w:val="none"/>
        </w:rPr>
        <w:t>二、甲方工作</w:t>
      </w:r>
    </w:p>
    <w:p w14:paraId="0BBE8C05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1.开工前三天，向乙方提供经确认的施工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内容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和作法说明，</w:t>
      </w:r>
      <w:r>
        <w:rPr>
          <w:rFonts w:hint="eastAsia" w:ascii="仿宋_GB2312" w:hAnsi="仿宋_GB2312" w:eastAsia="仿宋_GB2312" w:cs="仿宋_GB2312"/>
          <w:sz w:val="24"/>
          <w:szCs w:val="24"/>
        </w:rPr>
        <w:t>并向乙方进行现场交底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。</w:t>
      </w:r>
    </w:p>
    <w:p w14:paraId="2213F02F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2.如确实需要拆改原建筑物结构或设备管线，应依据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24"/>
          <w:szCs w:val="24"/>
        </w:rPr>
        <w:t>部门提供的图纸或方案。</w:t>
      </w:r>
    </w:p>
    <w:p w14:paraId="3C4D1C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三、乙方工作</w:t>
      </w:r>
    </w:p>
    <w:p w14:paraId="1C4580BB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1.参加甲方组织的施工图纸或作法说明的现场交底，拟定施工方案和进度计划，于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</w:rPr>
        <w:t>前交甲方审定，通过后方可实施。</w:t>
      </w:r>
    </w:p>
    <w:p w14:paraId="080B0CAF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2.指派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为乙方驻工地代表，负责合同履行。乙方应按要求组织施工，保质、保量、按期完成施工任务，解决由乙方负责的各项事宜。</w:t>
      </w:r>
    </w:p>
    <w:p w14:paraId="691BAEA3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3.严格执行施工规范、安全操作规程、防火安全规定、环境保护规定。严格按照图纸或作法说明进行施工，做好各项质量检查记录。参加竣工验收，编制工程结算。</w:t>
      </w:r>
    </w:p>
    <w:p w14:paraId="242B3E47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4.遵守国家或地方政府及有关部门对施工现场管理的规定，妥善保护好施工现场周围建筑物、设备管线、古树名木等不受损坏。做好施工现场保卫和垃圾消纳等工作。</w:t>
      </w:r>
    </w:p>
    <w:p w14:paraId="6D25B695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5.施工中未经甲方书面同意或有关部门批准，不得随意拆改原建筑物结构及各种设备管线。</w:t>
      </w:r>
    </w:p>
    <w:p w14:paraId="0008F886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6.工程竣工未移交甲方之前，负责对现场的一切设施和工程成品进行保护；工程竣工移交前，应彻底完成现场的清理工作。</w:t>
      </w:r>
    </w:p>
    <w:p w14:paraId="17CBBF09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7.施工过程中不得违反甲方的相关管理制度。</w:t>
      </w:r>
    </w:p>
    <w:p w14:paraId="33E371F9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8.施工过程中如发生人身伤亡、财产毁损等安全事故的，乙方负责解决并独自承担全部责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任。由此给甲方造成损失的，乙方应负责赔偿，赔偿款由甲方直接从应付合同价款中扣除。</w:t>
      </w:r>
    </w:p>
    <w:p w14:paraId="42D905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.未经甲方同意，乙方不得擅自更换甲方在招</w:t>
      </w:r>
      <w:r>
        <w:rPr>
          <w:rFonts w:hint="eastAsia" w:ascii="仿宋_GB2312" w:hAnsi="仿宋_GB2312" w:eastAsia="仿宋_GB2312" w:cs="仿宋_GB2312"/>
          <w:sz w:val="24"/>
          <w:szCs w:val="24"/>
        </w:rPr>
        <w:t>标时认定的本工程施工负责人（项目经理）及施工队伍，若出现此类情况，甲方有权终止合同。</w:t>
      </w:r>
    </w:p>
    <w:p w14:paraId="1CB1BE4C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4"/>
          <w:szCs w:val="24"/>
        </w:rPr>
        <w:t>.乙方未能按投标文件中所列的施工方式、项目经理人选及其他承诺执行时，视为违约，甲方有权指正更正，直至终止合同。</w:t>
      </w:r>
    </w:p>
    <w:p w14:paraId="4D702037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.施工中或竣工后，如发生因乙方在本项目施工中拖欠工人工资、劳务分包商款项，而向甲方追讨欠款的情况时，均视为乙方违约，甲方有权采取终止合同，向乙方索赔的措施。</w:t>
      </w:r>
    </w:p>
    <w:p w14:paraId="5512868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-720" w:leftChars="0" w:firstLine="482" w:firstLineChars="200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  <w:t>四、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关于工期的约定</w:t>
      </w:r>
    </w:p>
    <w:p w14:paraId="3C1CB39E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1.甲方要求比合同约定的工期提前竣工时，应征得乙方同意，并支付乙方因赶工采取的措施费用。</w:t>
      </w:r>
    </w:p>
    <w:p w14:paraId="39A5C3A9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2.因甲方未按约定完成工作且影响工期的，工期相应顺延。</w:t>
      </w:r>
    </w:p>
    <w:p w14:paraId="4A283C2F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3.因乙方责任，不能按期开工或中途无故停工，影响工期，工期不顺延，由乙方承担逾期完工的违约责任。</w:t>
      </w:r>
    </w:p>
    <w:p w14:paraId="6D9EA813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4.因非乙方原因造成的停电、停水、停气及不可抗力因素影响，导致停工8小时以上（一周内累计计算），工期相应顺延。</w:t>
      </w:r>
    </w:p>
    <w:p w14:paraId="3D69796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-720" w:leftChars="0" w:firstLine="482" w:firstLineChars="200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  <w:t>五、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关于工程质量及验收的约定</w:t>
      </w:r>
    </w:p>
    <w:p w14:paraId="158EA308">
      <w:pPr>
        <w:pStyle w:val="6"/>
        <w:keepNext w:val="0"/>
        <w:keepLines w:val="0"/>
        <w:pageBreakBefore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1.本工程以国家制订的施工及验收规范为质量评定验收标准。</w:t>
      </w:r>
    </w:p>
    <w:p w14:paraId="3BD0CA30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.甲、乙双方应及时办理隐蔽工程和中间工程的检查与验收手续。甲方因自身原因不按时参加隐蔽工程的中间工程验收，乙方可自行验收，甲方应予承认。若甲方要求复验时，乙方应按要求办理复验。若复验合格，甲方应承担复验费用，由此造成停工，工期顺延；若复验不合格，其复验及返工费用由乙方承担，但工期也予顺延。</w:t>
      </w:r>
    </w:p>
    <w:p w14:paraId="33AA0348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</w:rPr>
        <w:t>.由于乙方原因造成质量事故，其返工费用由乙方承担，工期不顺延。工程施工或交付甲方使用过程中，因工程材料质量或施工质量造成甲方或第三方人身损伤、财产损失的，由乙方负责解决并承担全部赔偿责任。</w:t>
      </w:r>
    </w:p>
    <w:p w14:paraId="0FA50894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</w:rPr>
        <w:t>.工程竣工后，乙方应通知甲方验收，甲方自接到验收通知15日内组织验收，验收通过的办理验收、移交手续；验收不通过的，由乙方负责整改，工期不顺延。如甲方因自身原因在规定时间内未能组织验收，需及时通知乙方，另定验收日期，但甲方应承认竣工日期，并承担乙方的看管费用和相关费用。</w:t>
      </w:r>
    </w:p>
    <w:p w14:paraId="40EA54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六、关于</w:t>
      </w:r>
      <w:r>
        <w:rPr>
          <w:rFonts w:hint="eastAsia" w:ascii="仿宋_GB2312" w:hAnsi="仿宋_GB2312" w:eastAsia="仿宋_GB2312" w:cs="仿宋_GB2312"/>
          <w:b/>
          <w:sz w:val="24"/>
          <w:szCs w:val="24"/>
          <w:highlight w:val="none"/>
        </w:rPr>
        <w:t>工程价款及结算的约定</w:t>
      </w:r>
    </w:p>
    <w:p w14:paraId="3F618A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合同签订后 ，达到付款条件起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9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日内，支付合同总金额的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60.00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%。项目完成竣工验收结算后 ，达到付款条件起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9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日内，支付合同总金额的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40.00</w:t>
      </w:r>
      <w:bookmarkEnd w:id="0"/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%。</w:t>
      </w:r>
    </w:p>
    <w:p w14:paraId="257F73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  <w:highlight w:val="none"/>
        </w:rPr>
        <w:t>七、关于材料供应的约定</w:t>
      </w:r>
    </w:p>
    <w:p w14:paraId="489A197A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1.本工程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施工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范围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的材料由乙方按照招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投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标文件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约定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的品牌规格负责采购供应。</w:t>
      </w:r>
    </w:p>
    <w:p w14:paraId="26E2715C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2.凡由乙方采购的材料、设备，如不符合质量或规格有差异，应禁止使用。若已使用，由乙方负责更换，由此造成的返工，工期不予顺延，费用由乙方承担。</w:t>
      </w:r>
    </w:p>
    <w:p w14:paraId="203647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八、有关安全生产及防火事宜</w:t>
      </w:r>
    </w:p>
    <w:p w14:paraId="48B840E6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1.甲方提供的施工图纸和作法说明，应符合《中华人民共和国消防条例》和有关防火设计规范。</w:t>
      </w:r>
    </w:p>
    <w:p w14:paraId="5F06C3B9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乙方在施工期间应严格遵守相关行业施工规范和其它相关的法规、规范。在路面洗刨、摊铺、碾压等施工过程中注意机械和施工人员安全，施工车辆应服从安全管理员和甲方管理人员的协调和指挥，在道沿石装卸、运输及安装过程中，严防人员磕碰、砸伤等事故的发生。</w:t>
      </w:r>
    </w:p>
    <w:p w14:paraId="3DE16E03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3.由于乙方在施工生产过程中违反有关安全操作规程、消防条例，导致发生安全或火灾事故，乙方应承担由此引发的一切经济损失。</w:t>
      </w:r>
    </w:p>
    <w:p w14:paraId="37A053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九、保修</w:t>
      </w:r>
    </w:p>
    <w:p w14:paraId="12D9DE79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双方根据《建设工程质量管理条例》及有关规定，约定本工程质量保修期如下：</w:t>
      </w:r>
    </w:p>
    <w:p w14:paraId="537A203B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</w:rPr>
        <w:t>地基基础工程、主体结构工程为设计文件规定的合理使用年限；</w:t>
      </w:r>
    </w:p>
    <w:p w14:paraId="780DB43D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4"/>
          <w:szCs w:val="24"/>
        </w:rPr>
        <w:t>屋面防水工程、有防水要求的卫生间、房间和外墙面的防渗漏工程为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</w:rPr>
        <w:t>年；</w:t>
      </w:r>
    </w:p>
    <w:p w14:paraId="7E4E9F51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4"/>
          <w:szCs w:val="24"/>
        </w:rPr>
        <w:t>电气管线工程、给排水管道、设备安装工程为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年；</w:t>
      </w:r>
    </w:p>
    <w:p w14:paraId="4138F93E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4"/>
          <w:szCs w:val="24"/>
        </w:rPr>
        <w:t>供热、供冷系统工程为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个采暖期、供冷期；</w:t>
      </w:r>
    </w:p>
    <w:p w14:paraId="4F1F2FA8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4"/>
          <w:szCs w:val="24"/>
        </w:rPr>
        <w:t>装饰装修工程为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年；</w:t>
      </w:r>
    </w:p>
    <w:p w14:paraId="410EA478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4"/>
          <w:szCs w:val="24"/>
        </w:rPr>
        <w:t>其他项目的保修期限由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甲方与乙方</w:t>
      </w:r>
      <w:r>
        <w:rPr>
          <w:rFonts w:hint="eastAsia" w:ascii="仿宋_GB2312" w:hAnsi="仿宋_GB2312" w:eastAsia="仿宋_GB2312" w:cs="仿宋_GB2312"/>
          <w:sz w:val="24"/>
          <w:szCs w:val="24"/>
        </w:rPr>
        <w:t>约定。</w:t>
      </w:r>
    </w:p>
    <w:p w14:paraId="7B465EE0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  <w:highlight w:val="yellow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保</w:t>
      </w:r>
      <w:r>
        <w:rPr>
          <w:rFonts w:hint="eastAsia" w:ascii="仿宋_GB2312" w:hAnsi="仿宋_GB2312" w:eastAsia="仿宋_GB2312" w:cs="仿宋_GB2312"/>
          <w:sz w:val="24"/>
          <w:szCs w:val="24"/>
        </w:rPr>
        <w:t>修期起始日从甲方代表在最终验收记录上签字之日起算。保修期内，如出现质量问题，乙方应在接到维修通知后的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</w:rPr>
        <w:t>日内派人无偿维修。如乙方不在约定时间内派人维修或无法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修理的，甲方可委托其他单位或人员维修，产生的一切费用和工程质量风险由乙方承担。</w:t>
      </w:r>
    </w:p>
    <w:p w14:paraId="038444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十、奖励和违约责任</w:t>
      </w:r>
    </w:p>
    <w:p w14:paraId="16A453A1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由于乙方原因，逾期竣工，每逾期一天，乙方按合同总价的万分之五向甲方支付违约金；逾期超过20天，乙方除承担前述违约责任外，甲方享有单方解除合同的权利，且合同解除时，乙方应按合同总价的20%向甲方支付违约金。</w:t>
      </w:r>
    </w:p>
    <w:p w14:paraId="53BA565E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2.乙方应妥善保护甲方交付的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等设施，如造成损失，应照价赔偿。</w:t>
      </w:r>
    </w:p>
    <w:p w14:paraId="38DFB2A6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3.未办理验收手续，甲方因自身原因提前使用或擅自动用，造成损失由甲方负责。</w:t>
      </w:r>
    </w:p>
    <w:p w14:paraId="4B4D29D2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4.未经甲方同意，乙方擅自拆改原有建筑物的结构或设备管线，由此发生的损失或事故（包括罚款），由乙方负责并承担损失。</w:t>
      </w:r>
    </w:p>
    <w:p w14:paraId="7592B833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5.除本合同约定外，因一方原因造成合同无法继续履行时，任何一方有权书面通知对方，办理合同终止协议，责任一方按合同总价20%向对方支付违约金，并由责任方赔偿对方由此造成的经济损失。</w:t>
      </w:r>
    </w:p>
    <w:p w14:paraId="0EEFF541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施工中或竣工后，如因乙方拖欠工人工资、劳务分包商款项等致第三人向甲方追讨欠款的，均属于乙方违约，甲方有权从应付乙方的合同款中代乙方向第三方支付，且甲方有权采取终止合同，向乙方索赔的措施。</w:t>
      </w:r>
    </w:p>
    <w:p w14:paraId="36314D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十一、争议或纠纷处理</w:t>
      </w:r>
    </w:p>
    <w:p w14:paraId="4469350A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1.本合同在履行期间，双方发生争议时，在不影响工程进度的前提下，双方采取协商解决或请有关部门进行调解。</w:t>
      </w:r>
    </w:p>
    <w:p w14:paraId="11FAFD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20" w:firstLineChars="175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2.当事人不愿通过协商、调解解决或者协商、调解不成时，协商不成的，按下列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</w:rPr>
        <w:t>种方式解决；</w:t>
      </w:r>
    </w:p>
    <w:p w14:paraId="7698E2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20" w:firstLineChars="175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（一）向甲方注册地所在人民法院提起诉讼；</w:t>
      </w:r>
    </w:p>
    <w:p w14:paraId="633AB5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20" w:firstLineChars="175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（二）提交西安仲裁委员会仲裁。</w:t>
      </w:r>
    </w:p>
    <w:p w14:paraId="4CF522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十二、其它约定</w:t>
      </w:r>
    </w:p>
    <w:p w14:paraId="5BCC80D0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1.乙方在投标中关于投标报价、投标质量等级、合同主要条款的承诺及补充意见等内容，将作为中标条件列入合同，招标文件及答疑纪要作为合同附件，具有同等法律效力。</w:t>
      </w:r>
    </w:p>
    <w:p w14:paraId="390859F9">
      <w:pPr>
        <w:keepNext w:val="0"/>
        <w:keepLines w:val="0"/>
        <w:pageBreakBefore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2.本合同自双方签字盖章之日起生效，本合同一式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份，正本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份，双方各执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份，副本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份，双方各执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份，具有同等法律效力。</w:t>
      </w:r>
    </w:p>
    <w:tbl>
      <w:tblPr>
        <w:tblStyle w:val="7"/>
        <w:tblW w:w="851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4994"/>
      </w:tblGrid>
      <w:tr w14:paraId="01E9FFE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4" w:hRule="atLeast"/>
          <w:jc w:val="center"/>
        </w:trPr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6BB04521">
            <w:pPr>
              <w:autoSpaceDE w:val="0"/>
              <w:autoSpaceDN w:val="0"/>
              <w:adjustRightInd w:val="0"/>
              <w:snapToGrid w:val="0"/>
              <w:spacing w:line="360" w:lineRule="auto"/>
              <w:ind w:right="118" w:rightChars="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甲方单位名称（盖章）:</w:t>
            </w:r>
          </w:p>
          <w:p w14:paraId="4426113F">
            <w:pPr>
              <w:autoSpaceDE w:val="0"/>
              <w:autoSpaceDN w:val="0"/>
              <w:adjustRightInd w:val="0"/>
              <w:snapToGrid w:val="0"/>
              <w:spacing w:line="360" w:lineRule="auto"/>
              <w:ind w:right="118" w:rightChars="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法人或法人委托人</w:t>
            </w:r>
          </w:p>
          <w:p w14:paraId="21571C8E">
            <w:pPr>
              <w:autoSpaceDE w:val="0"/>
              <w:autoSpaceDN w:val="0"/>
              <w:adjustRightInd w:val="0"/>
              <w:snapToGrid w:val="0"/>
              <w:spacing w:line="360" w:lineRule="auto"/>
              <w:ind w:left="235" w:leftChars="112" w:right="118" w:rightChars="56" w:firstLine="120" w:firstLineChars="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（签字）：                        </w:t>
            </w:r>
          </w:p>
          <w:p w14:paraId="506C765D">
            <w:pPr>
              <w:autoSpaceDE w:val="0"/>
              <w:autoSpaceDN w:val="0"/>
              <w:adjustRightInd w:val="0"/>
              <w:snapToGrid w:val="0"/>
              <w:spacing w:line="360" w:lineRule="auto"/>
              <w:ind w:left="235" w:leftChars="112" w:right="118" w:rightChars="56" w:firstLine="120" w:firstLineChars="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2C2BF9F">
            <w:pPr>
              <w:autoSpaceDE w:val="0"/>
              <w:autoSpaceDN w:val="0"/>
              <w:adjustRightInd w:val="0"/>
              <w:snapToGrid w:val="0"/>
              <w:spacing w:line="360" w:lineRule="auto"/>
              <w:ind w:left="235" w:leftChars="112" w:right="118" w:rightChars="56" w:firstLine="120" w:firstLineChars="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年  月   日</w:t>
            </w:r>
          </w:p>
        </w:tc>
        <w:tc>
          <w:tcPr>
            <w:tcW w:w="499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34B75FD2">
            <w:pPr>
              <w:autoSpaceDE w:val="0"/>
              <w:autoSpaceDN w:val="0"/>
              <w:adjustRightInd w:val="0"/>
              <w:snapToGrid w:val="0"/>
              <w:spacing w:line="360" w:lineRule="auto"/>
              <w:ind w:left="235" w:leftChars="112" w:right="118" w:rightChars="56" w:firstLine="120" w:firstLineChars="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乙方单位名称（盖章）:</w:t>
            </w:r>
          </w:p>
          <w:p w14:paraId="694599CD">
            <w:pPr>
              <w:autoSpaceDE w:val="0"/>
              <w:autoSpaceDN w:val="0"/>
              <w:adjustRightInd w:val="0"/>
              <w:snapToGrid w:val="0"/>
              <w:spacing w:line="360" w:lineRule="auto"/>
              <w:ind w:right="118" w:rightChars="5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法人或法人委托人</w:t>
            </w:r>
          </w:p>
          <w:p w14:paraId="5486C95B">
            <w:pPr>
              <w:autoSpaceDE w:val="0"/>
              <w:autoSpaceDN w:val="0"/>
              <w:adjustRightInd w:val="0"/>
              <w:snapToGrid w:val="0"/>
              <w:spacing w:line="360" w:lineRule="auto"/>
              <w:ind w:left="235" w:leftChars="112" w:right="118" w:rightChars="56" w:firstLine="120" w:firstLineChars="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（签字）：          </w:t>
            </w:r>
          </w:p>
          <w:p w14:paraId="24C991F3">
            <w:pPr>
              <w:autoSpaceDE w:val="0"/>
              <w:autoSpaceDN w:val="0"/>
              <w:adjustRightInd w:val="0"/>
              <w:snapToGrid w:val="0"/>
              <w:spacing w:line="360" w:lineRule="auto"/>
              <w:ind w:left="235" w:leftChars="112" w:right="118" w:rightChars="56" w:firstLine="120" w:firstLineChars="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0656B45">
            <w:pPr>
              <w:autoSpaceDE w:val="0"/>
              <w:autoSpaceDN w:val="0"/>
              <w:adjustRightInd w:val="0"/>
              <w:snapToGrid w:val="0"/>
              <w:spacing w:line="360" w:lineRule="auto"/>
              <w:ind w:left="235" w:leftChars="112" w:right="118" w:rightChars="56" w:firstLine="120" w:firstLineChars="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年  月   日</w:t>
            </w:r>
          </w:p>
        </w:tc>
      </w:tr>
    </w:tbl>
    <w:p w14:paraId="2ACCC50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CC0C2F">
    <w:pPr>
      <w:pStyle w:val="4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50D1B8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0D1B8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ADE22A"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adjustRightInd w:val="0"/>
      <w:jc w:val="both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CB17BE"/>
    <w:multiLevelType w:val="singleLevel"/>
    <w:tmpl w:val="59CB17BE"/>
    <w:lvl w:ilvl="0" w:tentative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54C44"/>
    <w:rsid w:val="13573133"/>
    <w:rsid w:val="3C1D7038"/>
    <w:rsid w:val="3DF72DD9"/>
    <w:rsid w:val="41DD28D2"/>
    <w:rsid w:val="464C0026"/>
    <w:rsid w:val="51894260"/>
    <w:rsid w:val="5C390172"/>
    <w:rsid w:val="72C963D7"/>
    <w:rsid w:val="73A4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2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beforeAutospacing="0" w:afterAutospacing="0" w:line="240" w:lineRule="atLeast"/>
      <w:jc w:val="left"/>
    </w:pPr>
    <w:rPr>
      <w:rFonts w:ascii="Tahoma" w:hAnsi="Tahoma"/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beforeAutospacing="0" w:afterAutospacing="0" w:line="240" w:lineRule="atLeast"/>
      <w:jc w:val="center"/>
    </w:pPr>
    <w:rPr>
      <w:rFonts w:ascii="Tahoma" w:hAnsi="Tahoma"/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3081</Words>
  <Characters>3146</Characters>
  <Lines>0</Lines>
  <Paragraphs>0</Paragraphs>
  <TotalTime>2</TotalTime>
  <ScaleCrop>false</ScaleCrop>
  <LinksUpToDate>false</LinksUpToDate>
  <CharactersWithSpaces>3344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2025-10-13T07:38:00Z</dcterms:created>
  <dc:creator>Administrator</dc:creator>
  <cp:lastModifiedBy>Lis☁️</cp:lastModifiedBy>
  <dcterms:modified xsi:type="dcterms:W3CDTF">2025-11-07T08:32:29Z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eyJoZGlkIjoiYjJmZmI4NjIyYjA1MWU4N2U4ODVjY2NhNDQyODNmMzIiLCJ1c2VySWQiOiIzMDUwNjA3MTAifQ==</vt:lpwstr>
  </property>
  <property fmtid="{D5CDD505-2E9C-101B-9397-08002B2CF9AE}" pid="4" name="ICV">
    <vt:lpwstr>0FEE379184654FC8815C2D89D676A929_12</vt:lpwstr>
  </property>
</Properties>
</file>