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版本号：CGZC-2025-218（ZR20GN2025-CS-067）R20251212001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辖区相关单位网络接入服务项目(二次)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CGZC-2025-218（ZR20GN2025-CS-067）R</w:t>
      </w:r>
      <w:r>
        <w:br/>
      </w:r>
      <w:r>
        <w:br/>
      </w:r>
      <w:r>
        <w:br/>
      </w:r>
    </w:p>
    <w:p>
      <w:pPr>
        <w:pStyle w:val="null3"/>
        <w:jc w:val="center"/>
        <w:outlineLvl w:val="2"/>
      </w:pPr>
      <w:r>
        <w:rPr>
          <w:rFonts w:ascii="仿宋_GB2312" w:hAnsi="仿宋_GB2312" w:cs="仿宋_GB2312" w:eastAsia="仿宋_GB2312"/>
          <w:sz w:val="28"/>
          <w:b/>
        </w:rPr>
        <w:t>西安浐灞国际港党政办公室</w:t>
      </w:r>
    </w:p>
    <w:p>
      <w:pPr>
        <w:pStyle w:val="null3"/>
        <w:jc w:val="center"/>
        <w:outlineLvl w:val="2"/>
      </w:pPr>
      <w:r>
        <w:rPr>
          <w:rFonts w:ascii="仿宋_GB2312" w:hAnsi="仿宋_GB2312" w:cs="仿宋_GB2312" w:eastAsia="仿宋_GB2312"/>
          <w:sz w:val="28"/>
          <w:b/>
        </w:rPr>
        <w:t>陕西中润国际招标有限公司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陕西中润国际招标有限公司</w:t>
      </w:r>
      <w:r>
        <w:rPr>
          <w:rFonts w:ascii="仿宋_GB2312" w:hAnsi="仿宋_GB2312" w:cs="仿宋_GB2312" w:eastAsia="仿宋_GB2312"/>
        </w:rPr>
        <w:t>（以下简称“代理机构”）受</w:t>
      </w:r>
      <w:r>
        <w:rPr>
          <w:rFonts w:ascii="仿宋_GB2312" w:hAnsi="仿宋_GB2312" w:cs="仿宋_GB2312" w:eastAsia="仿宋_GB2312"/>
        </w:rPr>
        <w:t>西安浐灞国际港党政办公室</w:t>
      </w:r>
      <w:r>
        <w:rPr>
          <w:rFonts w:ascii="仿宋_GB2312" w:hAnsi="仿宋_GB2312" w:cs="仿宋_GB2312" w:eastAsia="仿宋_GB2312"/>
        </w:rPr>
        <w:t>委托，拟对</w:t>
      </w:r>
      <w:r>
        <w:rPr>
          <w:rFonts w:ascii="仿宋_GB2312" w:hAnsi="仿宋_GB2312" w:cs="仿宋_GB2312" w:eastAsia="仿宋_GB2312"/>
        </w:rPr>
        <w:t>辖区相关单位网络接入服务项目(二次)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CGZC-2025-218（ZR20GN2025-CS-067）R</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辖区相关单位网络接入服务项目(二次)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为满足西安浐灞国际港辖区相关单位正常业务办公，本次采购包含互联网安全专线接入、政务外网和专用内网接入服务。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文件：法定代表人或单位负责人参加磋商的，应提供法定代表人或单位负责人身份证明。授权代表参加磋商的，应提供法定代表人或单位负责人身份证明、授权委托书及授权代表在本单位的社保缴纳证明；法人的分支机构参与磋商时，还应附法人给分支机构出具的授权书，法人只能授权一家分支机构参与磋商，且不能与分支机构同时参与磋商。</w:t>
      </w:r>
    </w:p>
    <w:p>
      <w:pPr>
        <w:pStyle w:val="null3"/>
      </w:pPr>
      <w:r>
        <w:rPr>
          <w:rFonts w:ascii="仿宋_GB2312" w:hAnsi="仿宋_GB2312" w:cs="仿宋_GB2312" w:eastAsia="仿宋_GB2312"/>
        </w:rPr>
        <w:t>2、资质证书：供应商需具有有效期内的《中华人民共和国增值电信业务经营许可证》（业务种类为第一类增值电信中的互联网接入）。</w:t>
      </w:r>
    </w:p>
    <w:p>
      <w:pPr>
        <w:pStyle w:val="null3"/>
      </w:pPr>
      <w:r>
        <w:rPr>
          <w:rFonts w:ascii="仿宋_GB2312" w:hAnsi="仿宋_GB2312" w:cs="仿宋_GB2312" w:eastAsia="仿宋_GB2312"/>
        </w:rPr>
        <w:t>3、信用记录：供应商在递交竞争性磋商响应文件截止时间前被“信用中国”网站（www.creditchina.gov.cn）和中国政府采购网（www.ccgp.gov.cn）上被列入失信被执行人、重大税收违法失信主体、政府采购严重违法失信行为记录名单的，不得参加磋商。</w:t>
      </w:r>
    </w:p>
    <w:p>
      <w:pPr>
        <w:pStyle w:val="null3"/>
      </w:pPr>
      <w:r>
        <w:rPr>
          <w:rFonts w:ascii="仿宋_GB2312" w:hAnsi="仿宋_GB2312" w:cs="仿宋_GB2312" w:eastAsia="仿宋_GB2312"/>
        </w:rPr>
        <w:t>4、联合体：本项目不接受联合体竞争性磋商。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西安浐灞国际港党政办公室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西安市浐灞国际港港务大道6号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029-83521272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陕西中润国际招标有限公司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西安市高新区唐延路1号旺座国际城A座12楼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张经理、王经理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029-88825655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采购包1：540,000.00元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代理服务费收费标准：1、成交单位在领取成交通知书前，须向采购代理机构支付服务费。 2、服务费由采购人与采购代理机构约定：参照《国家计委关于印发&lt;招标代理服务收费管理暂行办法&gt;的通知》（计价格[2002]1980号）和《关于招标代理服务收费有关问题的通知》（发改办价格『2003』857号）规定按标准收取，若按照标准收取不足6000元，按6000元计取。3、成交单位的代理服务费交纳信息 银行户名：陕西中润国际招标有限公司 开户银行：中信银行西安曲江池北路支行 账 号：7251310182600086350 联 系 人：李帆 联系电话：029-87321229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西安浐灞国际港党政办公室</w:t>
      </w:r>
      <w:r>
        <w:rPr>
          <w:rFonts w:ascii="仿宋_GB2312" w:hAnsi="仿宋_GB2312" w:cs="仿宋_GB2312" w:eastAsia="仿宋_GB2312"/>
        </w:rPr>
        <w:t>和</w:t>
      </w:r>
      <w:r>
        <w:rPr>
          <w:rFonts w:ascii="仿宋_GB2312" w:hAnsi="仿宋_GB2312" w:cs="仿宋_GB2312" w:eastAsia="仿宋_GB2312"/>
        </w:rPr>
        <w:t>陕西中润国际招标有限公司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西安浐灞国际港党政办公室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陕西中润国际招标有限公司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西安浐灞国际港党政办公室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陕西中润国际招标有限公司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符合国家有关现行规范、标准的要求。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联系人：张经理 王经理</w:t>
      </w:r>
    </w:p>
    <w:p>
      <w:pPr>
        <w:pStyle w:val="null3"/>
      </w:pPr>
      <w:r>
        <w:rPr>
          <w:rFonts w:ascii="仿宋_GB2312" w:hAnsi="仿宋_GB2312" w:cs="仿宋_GB2312" w:eastAsia="仿宋_GB2312"/>
        </w:rPr>
        <w:t>联系电话：029-88825655</w:t>
      </w:r>
    </w:p>
    <w:p>
      <w:pPr>
        <w:pStyle w:val="null3"/>
      </w:pPr>
      <w:r>
        <w:rPr>
          <w:rFonts w:ascii="仿宋_GB2312" w:hAnsi="仿宋_GB2312" w:cs="仿宋_GB2312" w:eastAsia="仿宋_GB2312"/>
        </w:rPr>
        <w:t>地址：西安市高新区唐延路1号旺座国际城A座12楼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为满足西安浐灞国际港辖区相关单位正常业务办公，本次采购包含互联网安全专线接入、政务外网和专用内网接入服务。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540,000.00</w:t>
      </w:r>
    </w:p>
    <w:p>
      <w:pPr>
        <w:pStyle w:val="null3"/>
      </w:pPr>
      <w:r>
        <w:rPr>
          <w:rFonts w:ascii="仿宋_GB2312" w:hAnsi="仿宋_GB2312" w:cs="仿宋_GB2312" w:eastAsia="仿宋_GB2312"/>
        </w:rPr>
        <w:t>采购包最高限价（元）: 540,000.00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辖区相关单位网络接入服务项目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540,000.00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信息传输业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标的名称：辖区相关单位网络接入服务项目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一、项目概况</w:t>
            </w:r>
          </w:p>
          <w:p>
            <w:pPr>
              <w:pStyle w:val="null3"/>
              <w:ind w:firstLine="400"/>
            </w:pPr>
            <w:r>
              <w:rPr>
                <w:rFonts w:ascii="仿宋_GB2312" w:hAnsi="仿宋_GB2312" w:cs="仿宋_GB2312" w:eastAsia="仿宋_GB2312"/>
              </w:rPr>
              <w:t>为满足西安浐灞国际港辖区相关单位正常业务办公，本次采购包含互联网安全专线接入、政务外网和专用内网接入服务。</w:t>
            </w:r>
          </w:p>
          <w:p>
            <w:pPr>
              <w:pStyle w:val="null3"/>
            </w:pPr>
            <w:r>
              <w:rPr>
                <w:rFonts w:ascii="仿宋_GB2312" w:hAnsi="仿宋_GB2312" w:cs="仿宋_GB2312" w:eastAsia="仿宋_GB2312"/>
                <w:b/>
              </w:rPr>
              <w:t>二、服务内容</w:t>
            </w:r>
          </w:p>
          <w:tbl>
            <w:tblPr>
              <w:tblInd w:type="dxa" w:w="120"/>
              <w:tblBorders>
                <w:top w:val="none" w:color="000000" w:sz="4"/>
                <w:left w:val="none" w:color="000000" w:sz="4"/>
                <w:bottom w:val="none" w:color="000000" w:sz="4"/>
                <w:right w:val="none" w:color="000000" w:sz="4"/>
                <w:insideH w:val="none"/>
                <w:insideV w:val="none"/>
              </w:tblBorders>
            </w:tblPr>
            <w:tblGrid>
              <w:gridCol w:w="175"/>
              <w:gridCol w:w="1303"/>
              <w:gridCol w:w="800"/>
              <w:gridCol w:w="275"/>
            </w:tblGrid>
            <w:tr>
              <w:tc>
                <w:tcPr>
                  <w:tcW w:type="dxa" w:w="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13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单位</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网络类型</w:t>
                  </w:r>
                </w:p>
              </w:tc>
              <w:tc>
                <w:tcPr>
                  <w:tcW w:type="dxa" w:w="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带宽</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劳动监察大队（浐灞商务中心）</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互联网安全专线</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50M</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公共服务局（物联网大厦）</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互联网安全专线</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50M</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住房建设局（物联网大厦）</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互联网安全专线</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50M</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金融商务产业园</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互联网安全专线</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150M</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总部经济产业园</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互联网安全专线</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100M</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雁鸣生态产业园</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互联网安全专线</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100M</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世园会展产业园</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互联网安全专线</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50M</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湿地文旅产业园</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互联网安全专线</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100M</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数字商贸产业园</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互联网安全专线</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50M</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中央商务区及现代商贸产业园、住建局市政配套中心（国际商事法庭办公楼）</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互联网安全专线</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100M</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11</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城管执法局（北片区）</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互联网安全专线</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200M</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新筑街办</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政务外网</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6M</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新合街办</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政务外网</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6M</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城管执法局（北片区）</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政务外网</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20M</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住房建设局</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专用内网</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10M</w:t>
                  </w:r>
                </w:p>
              </w:tc>
            </w:tr>
          </w:tbl>
          <w:p>
            <w:pPr>
              <w:pStyle w:val="null3"/>
            </w:pPr>
            <w:r>
              <w:rPr>
                <w:rFonts w:ascii="仿宋_GB2312" w:hAnsi="仿宋_GB2312" w:cs="仿宋_GB2312" w:eastAsia="仿宋_GB2312"/>
                <w:b/>
              </w:rPr>
              <w:t>三、技术要求</w:t>
            </w:r>
          </w:p>
          <w:p>
            <w:pPr>
              <w:pStyle w:val="null3"/>
            </w:pPr>
            <w:r>
              <w:rPr>
                <w:rFonts w:ascii="仿宋_GB2312" w:hAnsi="仿宋_GB2312" w:cs="仿宋_GB2312" w:eastAsia="仿宋_GB2312"/>
              </w:rPr>
              <w:t>1、传输性能要求</w:t>
            </w:r>
          </w:p>
          <w:p>
            <w:pPr>
              <w:pStyle w:val="null3"/>
            </w:pPr>
            <w:r>
              <w:rPr>
                <w:rFonts w:ascii="仿宋_GB2312" w:hAnsi="仿宋_GB2312" w:cs="仿宋_GB2312" w:eastAsia="仿宋_GB2312"/>
              </w:rPr>
              <w:t>①带宽范围：支持 2Mbps～10Gbps 弹性速率（含2M/155M/622M/2.5G等阶梯选项），提供独占对称带宽保障。</w:t>
            </w:r>
          </w:p>
          <w:p>
            <w:pPr>
              <w:pStyle w:val="null3"/>
            </w:pPr>
            <w:r>
              <w:rPr>
                <w:rFonts w:ascii="仿宋_GB2312" w:hAnsi="仿宋_GB2312" w:cs="仿宋_GB2312" w:eastAsia="仿宋_GB2312"/>
              </w:rPr>
              <w:t>②延迟控制：采用 SDH同步数字传输技术，跨城市/跨省传输延迟≤15ms（3000公里内），单点故障切换时间&lt;50ms。</w:t>
            </w:r>
          </w:p>
          <w:p>
            <w:pPr>
              <w:pStyle w:val="null3"/>
            </w:pPr>
            <w:r>
              <w:rPr>
                <w:rFonts w:ascii="仿宋_GB2312" w:hAnsi="仿宋_GB2312" w:cs="仿宋_GB2312" w:eastAsia="仿宋_GB2312"/>
              </w:rPr>
              <w:t>③可用性：全网SLA承诺 ≥99.99%可用性（年中断时长≤52分钟）。</w:t>
            </w:r>
          </w:p>
          <w:p>
            <w:pPr>
              <w:pStyle w:val="null3"/>
            </w:pPr>
            <w:r>
              <w:rPr>
                <w:rFonts w:ascii="仿宋_GB2312" w:hAnsi="仿宋_GB2312" w:cs="仿宋_GB2312" w:eastAsia="仿宋_GB2312"/>
              </w:rPr>
              <w:t>2、网络架构与安全</w:t>
            </w:r>
          </w:p>
          <w:p>
            <w:pPr>
              <w:pStyle w:val="null3"/>
            </w:pPr>
            <w:r>
              <w:rPr>
                <w:rFonts w:ascii="仿宋_GB2312" w:hAnsi="仿宋_GB2312" w:cs="仿宋_GB2312" w:eastAsia="仿宋_GB2312"/>
              </w:rPr>
              <w:t>①物理隔离：通过 MSTP多业务传输平台 实现用户数据通道独立，杜绝共享干扰。</w:t>
            </w:r>
          </w:p>
          <w:p>
            <w:pPr>
              <w:pStyle w:val="null3"/>
            </w:pPr>
            <w:r>
              <w:rPr>
                <w:rFonts w:ascii="仿宋_GB2312" w:hAnsi="仿宋_GB2312" w:cs="仿宋_GB2312" w:eastAsia="仿宋_GB2312"/>
              </w:rPr>
              <w:t>②冗余设计：支持 双节点灾备 和 双路物理专线热备，骨干带宽达400Gbps。</w:t>
            </w:r>
          </w:p>
          <w:p>
            <w:pPr>
              <w:pStyle w:val="null3"/>
            </w:pPr>
            <w:r>
              <w:rPr>
                <w:rFonts w:ascii="仿宋_GB2312" w:hAnsi="仿宋_GB2312" w:cs="仿宋_GB2312" w:eastAsia="仿宋_GB2312"/>
              </w:rPr>
              <w:t>③传输加密：强制 IPSec VPN加密，保障端到端数据安全。</w:t>
            </w:r>
          </w:p>
          <w:p>
            <w:pPr>
              <w:pStyle w:val="null3"/>
            </w:pPr>
            <w:r>
              <w:rPr>
                <w:rFonts w:ascii="仿宋_GB2312" w:hAnsi="仿宋_GB2312" w:cs="仿宋_GB2312" w:eastAsia="仿宋_GB2312"/>
              </w:rPr>
              <w:t>3、接入与接口规范</w:t>
            </w:r>
          </w:p>
          <w:p>
            <w:pPr>
              <w:pStyle w:val="null3"/>
            </w:pPr>
            <w:r>
              <w:rPr>
                <w:rFonts w:ascii="仿宋_GB2312" w:hAnsi="仿宋_GB2312" w:cs="仿宋_GB2312" w:eastAsia="仿宋_GB2312"/>
              </w:rPr>
              <w:t>①接入方式：支持光纤直连、PON无源光网络、SDH/MSTP专线接入。</w:t>
            </w:r>
          </w:p>
          <w:p>
            <w:pPr>
              <w:pStyle w:val="null3"/>
            </w:pPr>
            <w:r>
              <w:rPr>
                <w:rFonts w:ascii="仿宋_GB2312" w:hAnsi="仿宋_GB2312" w:cs="仿宋_GB2312" w:eastAsia="仿宋_GB2312"/>
              </w:rPr>
              <w:t>②接口标准：</w:t>
            </w:r>
          </w:p>
          <w:p>
            <w:pPr>
              <w:pStyle w:val="null3"/>
            </w:pPr>
            <w:r>
              <w:rPr>
                <w:rFonts w:ascii="仿宋_GB2312" w:hAnsi="仿宋_GB2312" w:cs="仿宋_GB2312" w:eastAsia="仿宋_GB2312"/>
              </w:rPr>
              <w:t>电接口：G.703标准（2M/34M/45M速率）。</w:t>
            </w:r>
          </w:p>
          <w:p>
            <w:pPr>
              <w:pStyle w:val="null3"/>
            </w:pPr>
            <w:r>
              <w:rPr>
                <w:rFonts w:ascii="仿宋_GB2312" w:hAnsi="仿宋_GB2312" w:cs="仿宋_GB2312" w:eastAsia="仿宋_GB2312"/>
              </w:rPr>
              <w:t>光接口：STM-1/STM-4（155M/622M速率）及 10G EPON。</w:t>
            </w:r>
          </w:p>
          <w:p>
            <w:pPr>
              <w:pStyle w:val="null3"/>
            </w:pPr>
            <w:r>
              <w:rPr>
                <w:rFonts w:ascii="仿宋_GB2312" w:hAnsi="仿宋_GB2312" w:cs="仿宋_GB2312" w:eastAsia="仿宋_GB2312"/>
              </w:rPr>
              <w:t>4、开通与运维要求</w:t>
            </w:r>
          </w:p>
          <w:p>
            <w:pPr>
              <w:pStyle w:val="null3"/>
            </w:pPr>
            <w:r>
              <w:rPr>
                <w:rFonts w:ascii="仿宋_GB2312" w:hAnsi="仿宋_GB2312" w:cs="仿宋_GB2312" w:eastAsia="仿宋_GB2312"/>
              </w:rPr>
              <w:t>资质审核：需企业营业执照+法定代表人身份证实名认证。</w:t>
            </w:r>
          </w:p>
          <w:p>
            <w:pPr>
              <w:pStyle w:val="null3"/>
            </w:pPr>
            <w:r>
              <w:rPr>
                <w:rFonts w:ascii="仿宋_GB2312" w:hAnsi="仿宋_GB2312" w:cs="仿宋_GB2312" w:eastAsia="仿宋_GB2312"/>
              </w:rPr>
              <w:t>部署时效：申请后72小时内完成勘查与专线部署</w:t>
            </w:r>
          </w:p>
          <w:p>
            <w:pPr>
              <w:pStyle w:val="null3"/>
            </w:pPr>
            <w:r>
              <w:rPr>
                <w:rFonts w:ascii="仿宋_GB2312" w:hAnsi="仿宋_GB2312" w:cs="仿宋_GB2312" w:eastAsia="仿宋_GB2312"/>
                <w:b/>
              </w:rPr>
              <w:t>四、服务要求</w:t>
            </w:r>
          </w:p>
          <w:p>
            <w:pPr>
              <w:pStyle w:val="null3"/>
            </w:pPr>
            <w:r>
              <w:rPr>
                <w:rFonts w:ascii="仿宋_GB2312" w:hAnsi="仿宋_GB2312" w:cs="仿宋_GB2312" w:eastAsia="仿宋_GB2312"/>
              </w:rPr>
              <w:t>1.双方承诺严格遵守《中华人民共和国电信条例》等国家有关法律法规履行合同，维护双方权益。</w:t>
            </w:r>
          </w:p>
          <w:p>
            <w:pPr>
              <w:pStyle w:val="null3"/>
            </w:pPr>
            <w:r>
              <w:rPr>
                <w:rFonts w:ascii="仿宋_GB2312" w:hAnsi="仿宋_GB2312" w:cs="仿宋_GB2312" w:eastAsia="仿宋_GB2312"/>
              </w:rPr>
              <w:t>2.成交供应商按国家电信主管部门颁布的电信服务标准和电路质量要求，保证电路服务畅通。</w:t>
            </w:r>
          </w:p>
          <w:p>
            <w:pPr>
              <w:pStyle w:val="null3"/>
            </w:pPr>
            <w:r>
              <w:rPr>
                <w:rFonts w:ascii="仿宋_GB2312" w:hAnsi="仿宋_GB2312" w:cs="仿宋_GB2312" w:eastAsia="仿宋_GB2312"/>
              </w:rPr>
              <w:t>3.每季度对网络设备进行例行巡检。</w:t>
            </w:r>
          </w:p>
          <w:p>
            <w:pPr>
              <w:pStyle w:val="null3"/>
            </w:pPr>
            <w:r>
              <w:rPr>
                <w:rFonts w:ascii="仿宋_GB2312" w:hAnsi="仿宋_GB2312" w:cs="仿宋_GB2312" w:eastAsia="仿宋_GB2312"/>
              </w:rPr>
              <w:t>4.成交供应商为采购人提供大客户故障受理热线服务，受理并处理采购人全程端到端的故障申告。</w:t>
            </w:r>
          </w:p>
          <w:p>
            <w:pPr>
              <w:pStyle w:val="null3"/>
            </w:pPr>
            <w:r>
              <w:rPr>
                <w:rFonts w:ascii="仿宋_GB2312" w:hAnsi="仿宋_GB2312" w:cs="仿宋_GB2312" w:eastAsia="仿宋_GB2312"/>
              </w:rPr>
              <w:t>5.全年7*24 电话受理故障，提供电话、邮件技术支持，远程解决故障；如需现场支持，则4小时内到现场。</w:t>
            </w:r>
          </w:p>
          <w:p>
            <w:pPr>
              <w:pStyle w:val="null3"/>
            </w:pPr>
            <w:r>
              <w:rPr>
                <w:rFonts w:ascii="仿宋_GB2312" w:hAnsi="仿宋_GB2312" w:cs="仿宋_GB2312" w:eastAsia="仿宋_GB2312"/>
              </w:rPr>
              <w:t>6.故障解决不超过4小时（设备更换除外）。</w:t>
            </w:r>
          </w:p>
          <w:p>
            <w:pPr>
              <w:pStyle w:val="null3"/>
            </w:pPr>
            <w:r>
              <w:rPr>
                <w:rFonts w:ascii="仿宋_GB2312" w:hAnsi="仿宋_GB2312" w:cs="仿宋_GB2312" w:eastAsia="仿宋_GB2312"/>
                <w:b/>
              </w:rPr>
              <w:t>五、商务要求</w:t>
            </w:r>
          </w:p>
          <w:p>
            <w:pPr>
              <w:pStyle w:val="null3"/>
            </w:pPr>
            <w:r>
              <w:rPr>
                <w:rFonts w:ascii="仿宋_GB2312" w:hAnsi="仿宋_GB2312" w:cs="仿宋_GB2312" w:eastAsia="仿宋_GB2312"/>
              </w:rPr>
              <w:t>1.服务期限：12个月，自服务实际开通之日起计算。</w:t>
            </w:r>
          </w:p>
          <w:p>
            <w:pPr>
              <w:pStyle w:val="null3"/>
            </w:pPr>
            <w:r>
              <w:rPr>
                <w:rFonts w:ascii="仿宋_GB2312" w:hAnsi="仿宋_GB2312" w:cs="仿宋_GB2312" w:eastAsia="仿宋_GB2312"/>
              </w:rPr>
              <w:t>2.款项结算：项目整体服务完成并经采购人验收合格后，达到付款条件起30日内，支付合同总金额的100%。</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根据项目情况，按需配备。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根据项目情况，按需配备。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12个月，自服务实际开通之日起计算。</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符合有关网络接入及网络运行的国家法律法规规定的标准、行业标准、竞争性磋商文件和成交供应商竞争性磋商响应文件所要求的服务标准。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项目整体服务完成并经采购人验收合格后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（一）若成交供应商未按合同约定的服务标准、时间、范围提供服务，采购人可要求其限期整改、整改后仍不格的，采购人有权要求以合同金额的百分之一按日计违约金。 （二）任何一方违反合同所规定条款，均构成违约，违约方必须承担由此给对方造成的经济损失。 （三）成交供应商在履行合同中给采购人、自身及第三者造成的任何损害，成交供应商应承担全部赔偿责任。 （四）依据《中华人民共和国民法典》、《中华人民共和国政府采购法》的相关条款和本合同约定，成交供应商未全面履行合同义务或者发生违约，采购人有权终止合同，依法向成交供应商要求经济索赔，并报请政府采购监督管理机关进行相应的行政处罚。采购人违约的，应当赔偿给成交供应商造成的经济损失。 （五）未按合同要求提供服务或服务质量不能满足本次项目要求，采购人有权终止合同和对成交供应商违约行为进行追究，同时按有关规定进行相应的处罚。 合同争议解决的方式 ： 因合同产生纠纷，如协商无法解决，双方均有权向采购人所在地人民法院提起诉讼。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成交供应商在领取成交通知书前须无偿为采购人提供盖章齐全的纸质版投标文件三套，正本1套，副本2套，纸质版应与电子投标文件保持一致。正本应为彩色打印件，副本可采用正本的复印件。纸质版文件与电子投标文件不一致由此造成的一切责任及后果由供应商自行承担。纸质版投标文件递交地址：西安市高新区唐延路1号旺座国际城座A座12楼，张经理、王经理，029-88825655。 3.4.2本项目非专门面向中小企业。项目所属行业：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 3.4.3落实政府采购政策：①、《关于进一步加大政府采购支持中小企业力度的通知》（财库〔2022〕19号）、《政府采购促进中小企业发展管理办法》（财库〔2020〕46号）、《关于政府采购支持监狱企业发展有关问题的通知》（财库〔2014〕68号）、《关于促进残疾人就业政府采购政策的通知》（财库〔2017〕141号）。 ②、《财政部 农业农村部 国家乡村振兴局关于运用政府采购政策支持乡村产业振兴的通知》（财库〔2021〕19号）、《财政部农业农村部国家乡村振兴局 中华全国供销合作总社关于印发&lt;关于深入开展政府采购脱贫地区农副产品工作推进乡村产业振兴的实施意见&gt;的通知》（财库〔2021〕20号）。 ③、《国家互联网信息办公室 工业和信息化部 公安部 财政部 国家认证认可监督管理委员会关于调整网络安全专用产品安全管理有关事项的公告》（2023年第1号）。 ④、《陕西省财政厅关于加快推进我省中小企业政府采购信用融资工作的通知》（陕财办采〔2020〕15 号）、陕西省财政厅关于印发《陕西省中小企业政府采购信用融资办法》（陕财办采〔2018〕23 号）、《陕西省财政厅、中国人民银行西安分行关于深入推进政府采购信用融资业务的通知》陕财办采〔2023〕5号。 ⑤、国务院办公厅《关于建立政府强制采购节能产品制度的通知》（国办发〔2007〕51号） 《财政部 发展改革委 生态环境部 国家监管总局关于调整优化节能产品、环境标志产品政府采购执行机制的通知》（财库〔2019〕9号） 《关于印发环境标志产品政府采购品目清单的通知》（财库〔2019〕18号） 《关于印发节能产品政府采购品目清单的通知》（财库〔2019〕19号） 陕西省财政厅《关于进一步加强政府绿色采购有关问题的通知》（陕财办采〔2021〕29号） 《政府采购支持绿色建材促进建筑品质提升政策项目实施指南》的通知(财库〔2023〕52号)及《关于扩大政府采购支持绿色建材促进建筑品质提升政策实施范围的通知》(财库〔2022〕35号) 若享受以上政策优惠的企业，提供相应声明函或品目清单范围内产品的有效认证证书。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（1）供应商是企业（包括合伙企业）的，应提供其在市场监督管理部门注册的有效“营业执照”的复印件；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（5）供应商是个体工商户的，应提供其有效的“营业执照”复印件； （6）供应商是自然人的，应提供其有效的自然人身份证明复印件。 2.提供供应商2025年1月至今任意一个月已缴纳的完税凭证或税务机关开具的完税证明（任意税种）（银行出具的缴税凭证或税务机关出具的证明的复印件，并加盖本单位公章）。依法免税的供应商，应提供相应文件证明其依法免税。 3.提供供应商2025年1月至今任意一个月已缴纳的社会保障资金缴存单据或社保机构开具的社会保险参保缴费情况证明，并加盖本单位公章。不需要缴纳社会保障资金的供应商，应提供相应文件证明其不需要缴纳社会保障资金； 4.具备履行合同所必需的设备和专业技术能力的承诺； 5.供应商参加政府采购活动前3年内在经营活动中没有重大违法记录的书面声明。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的财务报告或提交响应文件截止时间前三个月内其基本账户开户银行出具的资信证明（附开户许可证或开户备案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或单位负责人参加磋商的，应提供法定代表人或单位负责人身份证明。授权代表参加磋商的，应提供法定代表人或单位负责人身份证明、授权委托书及授权代表在本单位的社保缴纳证明；法人的分支机构参与磋商时，还应附法人给分支机构出具的授权书，法人只能授权一家分支机构参与磋商，且不能与分支机构同时参与磋商。</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供应商需具有有效期内的《中华人民共和国增值电信业务经营许可证》（业务种类为第一类增值电信中的互联网接入）。</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递交竞争性磋商响应文件截止时间前被“信用中国”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本项目不接受联合体竞争性磋商。</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首次磋商报价表和分项报价表.docx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业绩一览表.docx 服务内容及服务邀请应答表 首次磋商报价表和分项报价表.docx 中小企业声明函 商务应答表 报价表 响应文件封面 政府采购供应商拒绝政府采购领域商业贿赂承诺书.docx 残疾人福利性单位声明函 标的清单 资格证明材料.docx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有效期应符合磋商文件要求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供应商报价是固定价且未超过预算金额（磋商文件有最高限价（最高含税完全综合单价限价）的，报价未超过最高限价（最高含税完全综合单价限价））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应符合磋商文件规定的其他实质性要求</w:t>
            </w:r>
          </w:p>
        </w:tc>
        <w:tc>
          <w:tcPr>
            <w:tcW w:type="dxa" w:w="1661"/>
          </w:tcPr>
          <w:p>
            <w:pPr>
              <w:pStyle w:val="null3"/>
            </w:pPr>
            <w:r>
              <w:rPr>
                <w:rFonts w:ascii="仿宋_GB2312" w:hAnsi="仿宋_GB2312" w:cs="仿宋_GB2312" w:eastAsia="仿宋_GB2312"/>
              </w:rPr>
              <w:t>服务内容及服务邀请应答表 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提供针对本项目整体服务方案，内容至少包括： ①对本项目工作内容需求分析（3分）：内容完整、可实施、且有针对性得3分；内容完整、可实施得2分；方案基本完整得1分；未提供不得分。 ②线路布局、项目组织实施方案（3分）：内容完整、可实施、且有针对性得3分；内容完整、可实施得2分；方案基本完整得1分；未提供不得分。 ③网络接入实现的功能（3分）：内容完整、可实施、且有针对性得3分；内容完整、可实施得2分；方案基本完整得1分；未提供不得分。 ④运行维护管理方案（3分）：内容完整、可实施、且有针对性得3分；内容完整、可实施得2分；方案基本完整得1分；未提供不得分。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提供针对本项目实施方案，内容至少包括： ①项目实施安排、时间规划（3分）：内容完整、可实施、且有针对性得3分；内容完整、可实施得2分；方案基本完整得1分；未提供不得分。 ②安装、调试方案（3分）：内容完整、可实施、且有针对性得3分；内容完整、可实施得2分；方案基本完整得1分；未提供不得分。 ③项目进度保障措施（3分）：内容完整、可实施、且有针对性得3分；内容完整、可实施得2分；方案基本完整得1分；未提供不得分。 ④网络接入测试、验收方案（3分）：内容完整、可实施、且有针对性得3分；内容完整、可实施得2分；方案基本完整得1分；未提供不得分。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服务保证措施</w:t>
            </w:r>
          </w:p>
        </w:tc>
        <w:tc>
          <w:tcPr>
            <w:tcW w:type="dxa" w:w="2492"/>
          </w:tcPr>
          <w:p>
            <w:pPr>
              <w:pStyle w:val="null3"/>
            </w:pPr>
            <w:r>
              <w:rPr>
                <w:rFonts w:ascii="仿宋_GB2312" w:hAnsi="仿宋_GB2312" w:cs="仿宋_GB2312" w:eastAsia="仿宋_GB2312"/>
              </w:rPr>
              <w:t>提供针对本项目的服务保证措施，内容至少包括： ①质量保障方案（3分）：内容完整、可实施、且有针对性得3分；内容完整、可实施得2分；方案基本完整得1分；未提供不得分。 ②故障响应时间（3分）：内容完整、可实施、且有针对性得3分；内容完整、可实施得2分；方案基本完整得1分；未提供不得分。 ③故障响应服务方式（3分）：内容完整、可实施、且有针对性得3分；内容完整、可实施得2分；方案基本完整得1分；未提供不得分。 ④提供相应的培训方案（3分）：内容完整、可实施、且有针对性得3分；内容完整、可实施得2分；方案基本完整得1分；未提供不得分。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拟投入本项目的团队人员</w:t>
            </w:r>
          </w:p>
        </w:tc>
        <w:tc>
          <w:tcPr>
            <w:tcW w:type="dxa" w:w="2492"/>
          </w:tcPr>
          <w:p>
            <w:pPr>
              <w:pStyle w:val="null3"/>
            </w:pPr>
            <w:r>
              <w:rPr>
                <w:rFonts w:ascii="仿宋_GB2312" w:hAnsi="仿宋_GB2312" w:cs="仿宋_GB2312" w:eastAsia="仿宋_GB2312"/>
              </w:rPr>
              <w:t>供应商拟投入本项目的团队人员具有通信网络类工程师、注册信息安全专业人员、信息系统项目管理师证书等相关专业资质证书，提供1份得2分，满分10分。提供相关证书复印件，未提供不得分。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提供针对本的项目团队配置，内容至少包括： ①团队组织人员配置明细（5分）：内容完整、可实施、且有针对性得5分；内容完整、可实施得3分；方案基本完整得1分；未提供不得分。 ②团队人员管理制度（5分）：内容完整、可实施、且有针对性得5分；内容完整、可实施得3分；方案基本完整得1分；未提供不得分。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提供针对本项目的售后服务方案，内容至少包括： ①本地化售后服务能力承诺（3分）：内容完整、可实施、且有针对性得3分；内容完整、可实施得2分；方案基本完整得1分；未提供不得分。 ②售后服务人员配置情况（3分）：内容完整、可实施、且有针对性得3分；内容完整、可实施得2分；方案基本完整得1分；未提供不得分。 ③保修内容与范围（3分）：内容完整、可实施、且有针对性得3分；内容完整、可实施得2分；方案基本完整得1分；未提供不得分。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网络带宽保障</w:t>
            </w:r>
          </w:p>
        </w:tc>
        <w:tc>
          <w:tcPr>
            <w:tcW w:type="dxa" w:w="2492"/>
          </w:tcPr>
          <w:p>
            <w:pPr>
              <w:pStyle w:val="null3"/>
            </w:pPr>
            <w:r>
              <w:rPr>
                <w:rFonts w:ascii="仿宋_GB2312" w:hAnsi="仿宋_GB2312" w:cs="仿宋_GB2312" w:eastAsia="仿宋_GB2312"/>
              </w:rPr>
              <w:t>提供网络带宽需安全、可靠、稳定，带宽容量符合国家相关规范标准的承诺得5分，未提供不得分。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供应商提供针对本项目的重难点分析，内容至少包括： ①方案内容合理，针对性强、明确、全面得5分； ②方案内容完整，但尚有优化空间得3分； ③方案表述前后不一致、套用其他项目方案或与项目需求不匹配等得1分； ④未提供不得分。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服务设备</w:t>
            </w:r>
          </w:p>
        </w:tc>
        <w:tc>
          <w:tcPr>
            <w:tcW w:type="dxa" w:w="2492"/>
          </w:tcPr>
          <w:p>
            <w:pPr>
              <w:pStyle w:val="null3"/>
            </w:pPr>
            <w:r>
              <w:rPr>
                <w:rFonts w:ascii="仿宋_GB2312" w:hAnsi="仿宋_GB2312" w:cs="仿宋_GB2312" w:eastAsia="仿宋_GB2312"/>
              </w:rPr>
              <w:t>供应商提供针对本项目的服务设备，内容至少包括：产品清单及性能等相应的证明材料； 方案各项内容全面详细、阐述条理清晰、技术先进、功能配置合理，能有效保障本项目实施，得5分；方案各项内容较完整，可实施得3分；方案基本完整得1分；未提供不得分。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提供2022年1月1日至今类似项目业绩，提供1份得2分，满分10分。（以合同签订时间为准，提供合同复印件加盖公章）未提供不得分。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详见附件：首次磋商报价表和分项报价表.docx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