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57673">
      <w:pPr>
        <w:jc w:val="center"/>
        <w:rPr>
          <w:rFonts w:hint="eastAsia" w:ascii="仿宋" w:hAnsi="仿宋" w:eastAsia="仿宋" w:cs="仿宋"/>
          <w:b/>
          <w:sz w:val="40"/>
          <w:szCs w:val="40"/>
          <w:highlight w:val="none"/>
        </w:rPr>
      </w:pPr>
      <w:r>
        <w:rPr>
          <w:rFonts w:hint="eastAsia" w:ascii="仿宋" w:hAnsi="仿宋" w:eastAsia="仿宋" w:cs="仿宋"/>
          <w:b/>
          <w:sz w:val="48"/>
          <w:szCs w:val="48"/>
          <w:highlight w:val="none"/>
          <w:lang w:eastAsia="zh-CN"/>
        </w:rPr>
        <w:t>辖区相关单位网络接入服务项目</w:t>
      </w:r>
    </w:p>
    <w:p w14:paraId="5488A094">
      <w:pPr>
        <w:pStyle w:val="2"/>
        <w:rPr>
          <w:rFonts w:hint="eastAsia" w:ascii="仿宋" w:hAnsi="仿宋" w:eastAsia="仿宋" w:cs="仿宋"/>
          <w:highlight w:val="none"/>
        </w:rPr>
      </w:pPr>
    </w:p>
    <w:p w14:paraId="69C16009">
      <w:pPr>
        <w:jc w:val="both"/>
        <w:rPr>
          <w:rFonts w:hint="eastAsia" w:ascii="仿宋" w:hAnsi="仿宋" w:eastAsia="仿宋" w:cs="仿宋"/>
          <w:b/>
          <w:sz w:val="52"/>
          <w:szCs w:val="52"/>
          <w:highlight w:val="none"/>
        </w:rPr>
      </w:pPr>
    </w:p>
    <w:p w14:paraId="1AC5F798">
      <w:pPr>
        <w:rPr>
          <w:rFonts w:hint="eastAsia" w:ascii="仿宋" w:hAnsi="仿宋" w:eastAsia="仿宋" w:cs="仿宋"/>
          <w:highlight w:val="none"/>
        </w:rPr>
      </w:pPr>
    </w:p>
    <w:p w14:paraId="04BF9339">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rPr>
        <w:t>合 同 书</w:t>
      </w:r>
    </w:p>
    <w:p w14:paraId="49B5D2C7">
      <w:pPr>
        <w:jc w:val="center"/>
        <w:rPr>
          <w:rFonts w:hint="eastAsia" w:ascii="仿宋" w:hAnsi="仿宋" w:eastAsia="仿宋" w:cs="仿宋"/>
          <w:b/>
          <w:sz w:val="22"/>
          <w:szCs w:val="22"/>
          <w:highlight w:val="none"/>
        </w:rPr>
      </w:pPr>
      <w:r>
        <w:rPr>
          <w:rFonts w:hint="eastAsia" w:ascii="仿宋" w:hAnsi="仿宋" w:eastAsia="仿宋" w:cs="仿宋"/>
          <w:b/>
          <w:sz w:val="22"/>
          <w:szCs w:val="22"/>
          <w:highlight w:val="none"/>
        </w:rPr>
        <w:t>（合同模板，仅供参考）</w:t>
      </w:r>
    </w:p>
    <w:p w14:paraId="031B6F63">
      <w:pPr>
        <w:jc w:val="center"/>
        <w:rPr>
          <w:rFonts w:hint="eastAsia" w:ascii="仿宋" w:hAnsi="仿宋" w:eastAsia="仿宋" w:cs="仿宋"/>
          <w:b/>
          <w:sz w:val="48"/>
          <w:szCs w:val="48"/>
          <w:highlight w:val="none"/>
        </w:rPr>
      </w:pPr>
    </w:p>
    <w:p w14:paraId="707DFF30">
      <w:pPr>
        <w:rPr>
          <w:rFonts w:hint="eastAsia" w:ascii="仿宋" w:hAnsi="仿宋" w:eastAsia="仿宋" w:cs="仿宋"/>
          <w:b/>
          <w:highlight w:val="none"/>
        </w:rPr>
      </w:pPr>
    </w:p>
    <w:p w14:paraId="6A8797A7">
      <w:pPr>
        <w:rPr>
          <w:rFonts w:hint="eastAsia" w:ascii="仿宋" w:hAnsi="仿宋" w:eastAsia="仿宋" w:cs="仿宋"/>
          <w:b/>
          <w:highlight w:val="none"/>
        </w:rPr>
      </w:pPr>
    </w:p>
    <w:p w14:paraId="14A32AA3">
      <w:pPr>
        <w:rPr>
          <w:rFonts w:hint="eastAsia" w:ascii="仿宋" w:hAnsi="仿宋" w:eastAsia="仿宋" w:cs="仿宋"/>
          <w:b/>
          <w:highlight w:val="none"/>
        </w:rPr>
      </w:pPr>
    </w:p>
    <w:p w14:paraId="265C6149">
      <w:pPr>
        <w:rPr>
          <w:rFonts w:hint="eastAsia" w:ascii="仿宋" w:hAnsi="仿宋" w:eastAsia="仿宋" w:cs="仿宋"/>
          <w:highlight w:val="none"/>
        </w:rPr>
      </w:pPr>
    </w:p>
    <w:p w14:paraId="45F9A6A0">
      <w:pPr>
        <w:spacing w:line="360" w:lineRule="auto"/>
        <w:jc w:val="both"/>
        <w:rPr>
          <w:rFonts w:hint="eastAsia" w:ascii="仿宋" w:hAnsi="仿宋" w:eastAsia="仿宋" w:cs="仿宋"/>
          <w:b/>
          <w:spacing w:val="23"/>
          <w:sz w:val="32"/>
          <w:szCs w:val="32"/>
          <w:highlight w:val="none"/>
        </w:rPr>
      </w:pPr>
    </w:p>
    <w:p w14:paraId="66FACF7A">
      <w:pPr>
        <w:spacing w:line="360" w:lineRule="auto"/>
        <w:ind w:left="1473" w:hanging="1469" w:hangingChars="400"/>
        <w:jc w:val="center"/>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rPr>
        <w:t>甲方(</w:t>
      </w:r>
      <w:r>
        <w:rPr>
          <w:rFonts w:hint="eastAsia" w:ascii="仿宋" w:hAnsi="仿宋" w:eastAsia="仿宋" w:cs="仿宋"/>
          <w:b/>
          <w:spacing w:val="23"/>
          <w:sz w:val="32"/>
          <w:szCs w:val="32"/>
          <w:highlight w:val="none"/>
          <w:lang w:val="en-US" w:eastAsia="zh-CN"/>
        </w:rPr>
        <w:t>采购人</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r>
        <w:rPr>
          <w:rFonts w:hint="eastAsia" w:ascii="仿宋" w:hAnsi="仿宋" w:eastAsia="仿宋" w:cs="仿宋"/>
          <w:spacing w:val="23"/>
          <w:sz w:val="28"/>
          <w:szCs w:val="28"/>
          <w:highlight w:val="none"/>
          <w:u w:val="single"/>
          <w:lang w:val="en-US" w:eastAsia="zh-CN"/>
        </w:rPr>
        <w:t xml:space="preserve">      </w:t>
      </w:r>
      <w:r>
        <w:rPr>
          <w:rFonts w:hint="eastAsia" w:ascii="仿宋" w:hAnsi="仿宋" w:eastAsia="仿宋" w:cs="仿宋"/>
          <w:spacing w:val="23"/>
          <w:sz w:val="28"/>
          <w:szCs w:val="28"/>
          <w:highlight w:val="none"/>
          <w:u w:val="single"/>
        </w:rPr>
        <w:t></w:t>
      </w:r>
    </w:p>
    <w:p w14:paraId="32203788">
      <w:pPr>
        <w:spacing w:line="360" w:lineRule="auto"/>
        <w:ind w:left="1406" w:leftChars="639" w:firstLine="0" w:firstLineChars="0"/>
        <w:jc w:val="both"/>
        <w:rPr>
          <w:rFonts w:hint="eastAsia" w:ascii="仿宋" w:hAnsi="仿宋" w:eastAsia="仿宋" w:cs="仿宋"/>
          <w:spacing w:val="23"/>
          <w:sz w:val="28"/>
          <w:szCs w:val="28"/>
          <w:highlight w:val="none"/>
          <w:u w:val="single"/>
        </w:rPr>
      </w:pPr>
      <w:r>
        <w:rPr>
          <w:rFonts w:hint="eastAsia" w:ascii="仿宋" w:hAnsi="仿宋" w:eastAsia="仿宋" w:cs="仿宋"/>
          <w:b/>
          <w:spacing w:val="23"/>
          <w:sz w:val="32"/>
          <w:szCs w:val="32"/>
          <w:highlight w:val="none"/>
        </w:rPr>
        <w:fldChar w:fldCharType="begin"/>
      </w:r>
      <w:r>
        <w:rPr>
          <w:rFonts w:hint="eastAsia" w:ascii="仿宋" w:hAnsi="仿宋" w:eastAsia="仿宋" w:cs="仿宋"/>
          <w:b/>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32"/>
          <w:szCs w:val="32"/>
          <w:highlight w:val="none"/>
        </w:rPr>
        <w:fldChar w:fldCharType="separate"/>
      </w:r>
      <w:r>
        <w:rPr>
          <w:rFonts w:hint="eastAsia" w:ascii="仿宋" w:hAnsi="仿宋" w:eastAsia="仿宋" w:cs="仿宋"/>
          <w:b/>
          <w:spacing w:val="23"/>
          <w:sz w:val="32"/>
          <w:szCs w:val="32"/>
          <w:highlight w:val="none"/>
        </w:rPr>
        <w:t>乙方</w:t>
      </w:r>
      <w:r>
        <w:rPr>
          <w:rFonts w:hint="eastAsia" w:ascii="仿宋" w:hAnsi="仿宋" w:eastAsia="仿宋" w:cs="仿宋"/>
          <w:b/>
          <w:spacing w:val="23"/>
          <w:sz w:val="32"/>
          <w:szCs w:val="32"/>
          <w:highlight w:val="none"/>
        </w:rPr>
        <w:fldChar w:fldCharType="end"/>
      </w:r>
      <w:r>
        <w:rPr>
          <w:rFonts w:hint="eastAsia" w:ascii="仿宋" w:hAnsi="仿宋" w:eastAsia="仿宋" w:cs="仿宋"/>
          <w:b/>
          <w:spacing w:val="23"/>
          <w:sz w:val="32"/>
          <w:szCs w:val="32"/>
          <w:highlight w:val="none"/>
        </w:rPr>
        <w:t>(</w:t>
      </w:r>
      <w:r>
        <w:rPr>
          <w:rFonts w:hint="eastAsia" w:ascii="仿宋" w:hAnsi="仿宋" w:eastAsia="仿宋" w:cs="仿宋"/>
          <w:b/>
          <w:spacing w:val="23"/>
          <w:sz w:val="32"/>
          <w:szCs w:val="32"/>
          <w:highlight w:val="none"/>
          <w:lang w:val="en-US" w:eastAsia="zh-CN"/>
        </w:rPr>
        <w:t>供应商</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w:t>
      </w:r>
    </w:p>
    <w:p w14:paraId="5B4D0B86">
      <w:pPr>
        <w:tabs>
          <w:tab w:val="left" w:pos="1995"/>
        </w:tabs>
        <w:spacing w:line="360" w:lineRule="auto"/>
        <w:ind w:left="1406" w:leftChars="639" w:firstLine="0" w:firstLineChars="0"/>
        <w:jc w:val="both"/>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rPr>
        <w:t>签订时间：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年</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月</w:t>
      </w:r>
      <w:r>
        <w:rPr>
          <w:rFonts w:hint="eastAsia" w:ascii="仿宋" w:hAnsi="仿宋" w:eastAsia="仿宋" w:cs="仿宋"/>
          <w:spacing w:val="23"/>
          <w:sz w:val="28"/>
          <w:szCs w:val="28"/>
          <w:highlight w:val="none"/>
          <w:u w:val="single"/>
        </w:rPr>
        <w:t></w:t>
      </w:r>
      <w:r>
        <w:rPr>
          <w:rFonts w:hint="eastAsia" w:ascii="仿宋" w:hAnsi="仿宋" w:eastAsia="仿宋" w:cs="仿宋"/>
          <w:b/>
          <w:spacing w:val="23"/>
          <w:sz w:val="32"/>
          <w:szCs w:val="32"/>
          <w:highlight w:val="none"/>
        </w:rPr>
        <w:t>日</w:t>
      </w:r>
    </w:p>
    <w:p w14:paraId="40489846">
      <w:pPr>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rPr>
        <w:br w:type="page"/>
      </w:r>
    </w:p>
    <w:p w14:paraId="52045FC1">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u w:val="single"/>
          <w:lang w:val="en-US" w:eastAsia="zh-CN"/>
        </w:rPr>
      </w:pPr>
      <w:bookmarkStart w:id="0" w:name="_Hlk107229277"/>
      <w:r>
        <w:rPr>
          <w:rFonts w:hint="eastAsia" w:ascii="仿宋" w:hAnsi="仿宋" w:eastAsia="仿宋" w:cs="仿宋"/>
          <w:bCs/>
          <w:sz w:val="20"/>
          <w:szCs w:val="20"/>
          <w:highlight w:val="none"/>
        </w:rPr>
        <w:t>甲方（</w:t>
      </w:r>
      <w:r>
        <w:rPr>
          <w:rFonts w:hint="eastAsia" w:ascii="仿宋" w:hAnsi="仿宋" w:eastAsia="仿宋" w:cs="仿宋"/>
          <w:bCs/>
          <w:sz w:val="20"/>
          <w:szCs w:val="20"/>
          <w:highlight w:val="none"/>
          <w:lang w:eastAsia="zh-CN"/>
        </w:rPr>
        <w:t>采</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lang w:eastAsia="zh-CN"/>
        </w:rPr>
        <w:t>购</w:t>
      </w:r>
      <w:r>
        <w:rPr>
          <w:rFonts w:hint="eastAsia" w:ascii="仿宋" w:hAnsi="仿宋" w:eastAsia="仿宋" w:cs="仿宋"/>
          <w:bCs/>
          <w:sz w:val="20"/>
          <w:szCs w:val="20"/>
          <w:highlight w:val="none"/>
          <w:lang w:val="en-US" w:eastAsia="zh-CN"/>
        </w:rPr>
        <w:t xml:space="preserve">  </w:t>
      </w:r>
      <w:r>
        <w:rPr>
          <w:rFonts w:hint="eastAsia" w:ascii="仿宋" w:hAnsi="仿宋" w:eastAsia="仿宋" w:cs="仿宋"/>
          <w:bCs/>
          <w:sz w:val="20"/>
          <w:szCs w:val="20"/>
          <w:highlight w:val="none"/>
          <w:lang w:eastAsia="zh-CN"/>
        </w:rPr>
        <w:t>人</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lang w:val="en-US" w:eastAsia="zh-CN"/>
        </w:rPr>
        <w:t xml:space="preserve">                </w:t>
      </w:r>
    </w:p>
    <w:p w14:paraId="6FBB0E99">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u w:val="single"/>
          <w:lang w:val="en-US" w:eastAsia="zh-CN"/>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eastAsia="zh-CN"/>
        </w:rPr>
        <w:t>成交供应商</w:t>
      </w:r>
      <w:r>
        <w:rPr>
          <w:rFonts w:hint="eastAsia" w:ascii="仿宋" w:hAnsi="仿宋" w:eastAsia="仿宋" w:cs="仿宋"/>
          <w:bCs/>
          <w:sz w:val="20"/>
          <w:szCs w:val="20"/>
          <w:highlight w:val="none"/>
        </w:rPr>
        <w:t xml:space="preserve">）： </w:t>
      </w:r>
      <w:r>
        <w:rPr>
          <w:rFonts w:hint="eastAsia" w:ascii="仿宋" w:hAnsi="仿宋" w:eastAsia="仿宋" w:cs="仿宋"/>
          <w:bCs/>
          <w:sz w:val="20"/>
          <w:szCs w:val="20"/>
          <w:highlight w:val="none"/>
          <w:u w:val="single"/>
          <w:lang w:val="en-US" w:eastAsia="zh-CN"/>
        </w:rPr>
        <w:t xml:space="preserve">               </w:t>
      </w:r>
    </w:p>
    <w:p w14:paraId="6B82DE5E">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color w:val="auto"/>
          <w:sz w:val="20"/>
          <w:szCs w:val="20"/>
          <w:highlight w:val="none"/>
          <w:u w:val="none"/>
        </w:rPr>
        <w:t>甲方就采购所需，按照政府采购程序组织竞争性磋商，确定乙方为成交供应商。依据《中华人民共和国政府采购法》、《中华人民共和国民法典》等相关法律以及竞争性磋商文件、成交供应商竞争性磋商响应文件和澄清表（函）、成交通知书，经甲、乙双方协商，达成如下条款。</w:t>
      </w:r>
    </w:p>
    <w:p w14:paraId="54C6CBA5">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2" w:firstLineChars="200"/>
        <w:jc w:val="left"/>
        <w:textAlignment w:val="auto"/>
        <w:rPr>
          <w:rFonts w:hint="eastAsia" w:ascii="仿宋" w:hAnsi="仿宋" w:eastAsia="仿宋" w:cs="仿宋"/>
          <w:color w:val="auto"/>
          <w:sz w:val="20"/>
          <w:szCs w:val="20"/>
          <w:highlight w:val="none"/>
        </w:rPr>
      </w:pPr>
      <w:bookmarkStart w:id="1" w:name="_Toc11985"/>
      <w:r>
        <w:rPr>
          <w:rFonts w:hint="eastAsia" w:ascii="仿宋" w:hAnsi="仿宋" w:eastAsia="仿宋" w:cs="仿宋"/>
          <w:b/>
          <w:bCs/>
          <w:color w:val="auto"/>
          <w:kern w:val="0"/>
          <w:sz w:val="20"/>
          <w:szCs w:val="20"/>
          <w:highlight w:val="none"/>
          <w:lang w:val="en-US" w:eastAsia="zh-CN" w:bidi="ar"/>
        </w:rPr>
        <w:t xml:space="preserve">一、服务内容 </w:t>
      </w:r>
    </w:p>
    <w:p w14:paraId="2A22EA16">
      <w:pPr>
        <w:keepNext w:val="0"/>
        <w:keepLines w:val="0"/>
        <w:pageBreakBefore w:val="0"/>
        <w:widowControl/>
        <w:shd w:val="clear" w:color="auto" w:fill="auto"/>
        <w:kinsoku/>
        <w:wordWrap/>
        <w:overflowPunct/>
        <w:topLinePunct w:val="0"/>
        <w:bidi w:val="0"/>
        <w:spacing w:after="0"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bCs/>
          <w:sz w:val="20"/>
          <w:szCs w:val="20"/>
          <w:highlight w:val="none"/>
        </w:rPr>
        <w:t>（一）</w:t>
      </w:r>
      <w:r>
        <w:rPr>
          <w:rFonts w:hint="eastAsia" w:ascii="仿宋" w:hAnsi="仿宋" w:eastAsia="仿宋" w:cs="仿宋"/>
          <w:color w:val="auto"/>
          <w:sz w:val="20"/>
          <w:szCs w:val="20"/>
          <w:highlight w:val="none"/>
          <w:lang w:eastAsia="zh-CN"/>
        </w:rPr>
        <w:t>项目名称：</w:t>
      </w:r>
      <w:r>
        <w:rPr>
          <w:rFonts w:hint="eastAsia" w:ascii="仿宋" w:hAnsi="仿宋" w:eastAsia="仿宋" w:cs="仿宋"/>
          <w:color w:val="auto"/>
          <w:sz w:val="20"/>
          <w:szCs w:val="20"/>
          <w:highlight w:val="none"/>
          <w:u w:val="single"/>
          <w:lang w:val="en-US" w:eastAsia="zh-CN"/>
        </w:rPr>
        <w:t>辖区相关单位网络接入服务项目</w:t>
      </w:r>
    </w:p>
    <w:p w14:paraId="5E1AF012">
      <w:pPr>
        <w:keepNext w:val="0"/>
        <w:keepLines w:val="0"/>
        <w:pageBreakBefore w:val="0"/>
        <w:widowControl/>
        <w:shd w:val="clear" w:color="auto" w:fill="auto"/>
        <w:kinsoku/>
        <w:wordWrap/>
        <w:overflowPunct/>
        <w:topLinePunct w:val="0"/>
        <w:bidi w:val="0"/>
        <w:spacing w:after="0" w:line="240" w:lineRule="auto"/>
        <w:ind w:firstLine="400" w:firstLineChars="200"/>
        <w:textAlignment w:val="auto"/>
        <w:rPr>
          <w:rFonts w:hint="eastAsia" w:ascii="仿宋" w:hAnsi="仿宋" w:eastAsia="仿宋" w:cs="仿宋"/>
          <w:color w:val="auto"/>
          <w:sz w:val="20"/>
          <w:szCs w:val="20"/>
          <w:highlight w:val="none"/>
          <w:u w:val="single"/>
          <w:lang w:val="en-US" w:eastAsia="zh-CN"/>
        </w:rPr>
      </w:pPr>
      <w:r>
        <w:rPr>
          <w:rFonts w:hint="eastAsia" w:ascii="仿宋" w:hAnsi="仿宋" w:eastAsia="仿宋" w:cs="仿宋"/>
          <w:bCs/>
          <w:sz w:val="20"/>
          <w:szCs w:val="20"/>
          <w:highlight w:val="none"/>
        </w:rPr>
        <w:t>（二）</w:t>
      </w:r>
      <w:r>
        <w:rPr>
          <w:rFonts w:hint="eastAsia" w:ascii="仿宋" w:hAnsi="仿宋" w:eastAsia="仿宋" w:cs="仿宋"/>
          <w:color w:val="auto"/>
          <w:sz w:val="20"/>
          <w:szCs w:val="20"/>
          <w:highlight w:val="none"/>
          <w:lang w:eastAsia="zh-CN"/>
        </w:rPr>
        <w:t>项目概况：</w:t>
      </w:r>
      <w:r>
        <w:rPr>
          <w:rFonts w:hint="eastAsia" w:ascii="仿宋" w:hAnsi="仿宋" w:eastAsia="仿宋" w:cs="仿宋"/>
          <w:color w:val="auto"/>
          <w:sz w:val="20"/>
          <w:szCs w:val="20"/>
          <w:highlight w:val="none"/>
          <w:u w:val="single"/>
          <w:lang w:val="en-US" w:eastAsia="zh-CN"/>
        </w:rPr>
        <w:t>为满足西安浐灞国际港辖区相关单位正常业务办公，本次采购包含互联网安全专线接入、政务外网和专用内网接入服务。</w:t>
      </w:r>
    </w:p>
    <w:p w14:paraId="5669D2F0">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2"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val="en-US" w:eastAsia="zh-CN" w:bidi="ar"/>
        </w:rPr>
        <w:t xml:space="preserve">二、服务地点及服务期 </w:t>
      </w:r>
    </w:p>
    <w:p w14:paraId="03BE3AD3">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bCs/>
          <w:sz w:val="20"/>
          <w:szCs w:val="20"/>
          <w:highlight w:val="none"/>
        </w:rPr>
        <w:t>（一）</w:t>
      </w:r>
      <w:r>
        <w:rPr>
          <w:rFonts w:hint="eastAsia" w:ascii="仿宋" w:hAnsi="仿宋" w:eastAsia="仿宋" w:cs="仿宋"/>
          <w:color w:val="auto"/>
          <w:kern w:val="0"/>
          <w:sz w:val="20"/>
          <w:szCs w:val="20"/>
          <w:highlight w:val="none"/>
          <w:lang w:val="en-US" w:eastAsia="zh-CN" w:bidi="ar"/>
        </w:rPr>
        <w:t>服务地点：</w:t>
      </w:r>
      <w:r>
        <w:rPr>
          <w:rFonts w:hint="eastAsia" w:ascii="仿宋" w:hAnsi="仿宋" w:eastAsia="仿宋" w:cs="仿宋"/>
          <w:color w:val="auto"/>
          <w:sz w:val="20"/>
          <w:szCs w:val="20"/>
          <w:highlight w:val="none"/>
          <w:u w:val="single"/>
          <w:lang w:val="en-US" w:eastAsia="zh-CN"/>
        </w:rPr>
        <w:t>采购人指定地点</w:t>
      </w:r>
      <w:r>
        <w:rPr>
          <w:rFonts w:hint="eastAsia" w:ascii="仿宋" w:hAnsi="仿宋" w:eastAsia="仿宋" w:cs="仿宋"/>
          <w:color w:val="auto"/>
          <w:kern w:val="0"/>
          <w:sz w:val="20"/>
          <w:szCs w:val="20"/>
          <w:highlight w:val="none"/>
          <w:lang w:val="en-US" w:eastAsia="zh-CN" w:bidi="ar"/>
        </w:rPr>
        <w:t xml:space="preserve"> </w:t>
      </w:r>
    </w:p>
    <w:p w14:paraId="5D943330">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0" w:firstLineChars="200"/>
        <w:jc w:val="left"/>
        <w:textAlignment w:val="auto"/>
        <w:rPr>
          <w:rFonts w:hint="default" w:ascii="仿宋" w:hAnsi="仿宋" w:eastAsia="仿宋" w:cs="仿宋"/>
          <w:color w:val="auto"/>
          <w:sz w:val="20"/>
          <w:szCs w:val="20"/>
          <w:highlight w:val="none"/>
          <w:u w:val="none"/>
          <w:lang w:val="en-US"/>
        </w:rPr>
      </w:pPr>
      <w:r>
        <w:rPr>
          <w:rFonts w:hint="eastAsia" w:ascii="仿宋" w:hAnsi="仿宋" w:eastAsia="仿宋" w:cs="仿宋"/>
          <w:bCs/>
          <w:sz w:val="20"/>
          <w:szCs w:val="20"/>
          <w:highlight w:val="none"/>
        </w:rPr>
        <w:t>（二）</w:t>
      </w:r>
      <w:r>
        <w:rPr>
          <w:rFonts w:hint="eastAsia" w:ascii="仿宋" w:hAnsi="仿宋" w:eastAsia="仿宋" w:cs="仿宋"/>
          <w:color w:val="auto"/>
          <w:kern w:val="0"/>
          <w:sz w:val="20"/>
          <w:szCs w:val="20"/>
          <w:highlight w:val="none"/>
          <w:lang w:val="en-US" w:eastAsia="zh-CN" w:bidi="ar"/>
        </w:rPr>
        <w:t>服务期：</w:t>
      </w:r>
      <w:r>
        <w:rPr>
          <w:rFonts w:hint="eastAsia" w:ascii="仿宋" w:hAnsi="仿宋" w:eastAsia="仿宋" w:cs="仿宋"/>
          <w:color w:val="auto"/>
          <w:kern w:val="0"/>
          <w:sz w:val="20"/>
          <w:szCs w:val="20"/>
          <w:highlight w:val="none"/>
          <w:u w:val="none"/>
          <w:lang w:val="en-US" w:eastAsia="zh-CN" w:bidi="ar"/>
        </w:rPr>
        <w:t>12个月，自服务实际开通之日起计算。</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年</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月</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日起至</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年</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月</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u w:val="none"/>
          <w:lang w:val="en-US" w:eastAsia="zh-CN" w:bidi="ar"/>
        </w:rPr>
        <w:t>日止。</w:t>
      </w:r>
    </w:p>
    <w:p w14:paraId="5230922B">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2"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val="en-US" w:eastAsia="zh-CN" w:bidi="ar"/>
        </w:rPr>
        <w:t xml:space="preserve">三、合同价款 </w:t>
      </w:r>
    </w:p>
    <w:p w14:paraId="57EEF38A">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bCs/>
          <w:sz w:val="20"/>
          <w:szCs w:val="20"/>
          <w:highlight w:val="none"/>
        </w:rPr>
        <w:t>（一）</w:t>
      </w:r>
      <w:r>
        <w:rPr>
          <w:rFonts w:hint="eastAsia" w:ascii="仿宋" w:hAnsi="仿宋" w:eastAsia="仿宋" w:cs="仿宋"/>
          <w:color w:val="auto"/>
          <w:kern w:val="0"/>
          <w:sz w:val="20"/>
          <w:szCs w:val="20"/>
          <w:highlight w:val="none"/>
          <w:lang w:val="en-US" w:eastAsia="zh-CN" w:bidi="ar"/>
        </w:rPr>
        <w:t>合同形式：固定总价合同</w:t>
      </w:r>
    </w:p>
    <w:p w14:paraId="613001E7">
      <w:pPr>
        <w:keepNext w:val="0"/>
        <w:keepLines w:val="0"/>
        <w:pageBreakBefore w:val="0"/>
        <w:widowControl/>
        <w:suppressLineNumbers w:val="0"/>
        <w:shd w:val="clear" w:color="auto" w:fill="auto"/>
        <w:kinsoku/>
        <w:wordWrap/>
        <w:overflowPunct/>
        <w:topLinePunct w:val="0"/>
        <w:autoSpaceDE/>
        <w:autoSpaceDN/>
        <w:bidi w:val="0"/>
        <w:adjustRightInd/>
        <w:snapToGrid/>
        <w:spacing w:after="0" w:line="24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bCs/>
          <w:sz w:val="20"/>
          <w:szCs w:val="20"/>
          <w:highlight w:val="none"/>
        </w:rPr>
        <w:t>（二）</w:t>
      </w:r>
      <w:r>
        <w:rPr>
          <w:rFonts w:hint="eastAsia" w:ascii="仿宋" w:hAnsi="仿宋" w:eastAsia="仿宋" w:cs="仿宋"/>
          <w:color w:val="auto"/>
          <w:sz w:val="20"/>
          <w:szCs w:val="20"/>
          <w:highlight w:val="none"/>
          <w:lang w:eastAsia="zh-CN"/>
        </w:rPr>
        <w:t>合同总价款为人民币</w:t>
      </w:r>
      <w:r>
        <w:rPr>
          <w:rFonts w:hint="eastAsia" w:ascii="仿宋" w:hAnsi="仿宋" w:eastAsia="仿宋" w:cs="仿宋"/>
          <w:color w:val="auto"/>
          <w:sz w:val="20"/>
          <w:szCs w:val="20"/>
          <w:highlight w:val="none"/>
          <w:u w:val="none"/>
          <w:lang w:eastAsia="zh-CN"/>
        </w:rPr>
        <w:t>大写</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none"/>
          <w:lang w:eastAsia="zh-CN"/>
        </w:rPr>
        <w:t>小写（¥</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none"/>
          <w:lang w:eastAsia="zh-CN"/>
        </w:rPr>
        <w:t>）。</w:t>
      </w:r>
    </w:p>
    <w:bookmarkEnd w:id="1"/>
    <w:p w14:paraId="54E4F2D0">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）合同价款</w:t>
      </w:r>
      <w:r>
        <w:rPr>
          <w:rFonts w:hint="eastAsia" w:ascii="仿宋" w:hAnsi="仿宋" w:eastAsia="仿宋" w:cs="仿宋"/>
          <w:sz w:val="20"/>
          <w:szCs w:val="20"/>
          <w:highlight w:val="none"/>
        </w:rPr>
        <w:t>是</w:t>
      </w:r>
      <w:r>
        <w:rPr>
          <w:rFonts w:hint="eastAsia" w:ascii="仿宋" w:hAnsi="仿宋" w:eastAsia="仿宋" w:cs="仿宋"/>
          <w:sz w:val="20"/>
          <w:szCs w:val="20"/>
          <w:highlight w:val="none"/>
          <w:lang w:val="zh-CN"/>
        </w:rPr>
        <w:t>乙方响应本次采购要求中全部工作内容的价格体现,</w:t>
      </w:r>
      <w:r>
        <w:rPr>
          <w:rFonts w:hint="eastAsia" w:ascii="仿宋" w:hAnsi="仿宋" w:eastAsia="仿宋" w:cs="仿宋"/>
          <w:sz w:val="20"/>
          <w:szCs w:val="20"/>
          <w:highlight w:val="none"/>
          <w:lang w:val="zh-CN" w:eastAsia="zh-CN"/>
        </w:rPr>
        <w:t>包括完成采购内容所需的直接费、间接费、利润、税金及其他相关的一切费用</w:t>
      </w:r>
      <w:r>
        <w:rPr>
          <w:rFonts w:hint="eastAsia" w:ascii="仿宋" w:hAnsi="仿宋" w:eastAsia="仿宋" w:cs="仿宋"/>
          <w:sz w:val="20"/>
          <w:szCs w:val="20"/>
          <w:highlight w:val="none"/>
          <w:lang w:val="zh-CN"/>
        </w:rPr>
        <w:t>。</w:t>
      </w:r>
    </w:p>
    <w:p w14:paraId="3325A86F">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四</w:t>
      </w:r>
      <w:r>
        <w:rPr>
          <w:rFonts w:hint="eastAsia" w:ascii="仿宋" w:hAnsi="仿宋" w:eastAsia="仿宋" w:cs="仿宋"/>
          <w:bCs/>
          <w:sz w:val="20"/>
          <w:szCs w:val="20"/>
          <w:highlight w:val="none"/>
        </w:rPr>
        <w:t>）合同价款一次性包死，不受市场价格变化因素的影响。</w:t>
      </w:r>
    </w:p>
    <w:p w14:paraId="6AC04BD2">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四</w:t>
      </w:r>
      <w:r>
        <w:rPr>
          <w:rFonts w:hint="eastAsia" w:ascii="仿宋" w:hAnsi="仿宋" w:eastAsia="仿宋" w:cs="仿宋"/>
          <w:b/>
          <w:sz w:val="20"/>
          <w:szCs w:val="20"/>
          <w:highlight w:val="none"/>
        </w:rPr>
        <w:t>、款项结算</w:t>
      </w:r>
    </w:p>
    <w:p w14:paraId="50CDB519">
      <w:pPr>
        <w:keepNext w:val="0"/>
        <w:keepLines w:val="0"/>
        <w:pageBreakBefore w:val="0"/>
        <w:widowControl/>
        <w:kinsoku/>
        <w:wordWrap/>
        <w:overflowPunct/>
        <w:topLinePunct w:val="0"/>
        <w:bidi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rPr>
        <w:t>付款方式：项目整体服务完成</w:t>
      </w:r>
      <w:r>
        <w:rPr>
          <w:rFonts w:hint="eastAsia" w:ascii="仿宋" w:hAnsi="仿宋" w:eastAsia="仿宋" w:cs="仿宋"/>
          <w:bCs/>
          <w:sz w:val="20"/>
          <w:szCs w:val="20"/>
          <w:highlight w:val="none"/>
          <w:lang w:val="en-US" w:eastAsia="zh-CN"/>
        </w:rPr>
        <w:t>并</w:t>
      </w:r>
      <w:r>
        <w:rPr>
          <w:rFonts w:hint="eastAsia" w:ascii="仿宋" w:hAnsi="仿宋" w:eastAsia="仿宋" w:cs="仿宋"/>
          <w:bCs/>
          <w:sz w:val="20"/>
          <w:szCs w:val="20"/>
          <w:highlight w:val="none"/>
        </w:rPr>
        <w:t>经</w:t>
      </w:r>
      <w:r>
        <w:rPr>
          <w:rFonts w:hint="eastAsia" w:ascii="仿宋" w:hAnsi="仿宋" w:eastAsia="仿宋" w:cs="仿宋"/>
          <w:bCs/>
          <w:sz w:val="20"/>
          <w:szCs w:val="20"/>
          <w:highlight w:val="none"/>
          <w:lang w:val="en-US" w:eastAsia="zh-CN"/>
        </w:rPr>
        <w:t>甲方</w:t>
      </w:r>
      <w:r>
        <w:rPr>
          <w:rFonts w:hint="eastAsia" w:ascii="仿宋" w:hAnsi="仿宋" w:eastAsia="仿宋" w:cs="仿宋"/>
          <w:bCs/>
          <w:sz w:val="20"/>
          <w:szCs w:val="20"/>
          <w:highlight w:val="none"/>
        </w:rPr>
        <w:t>验收合格后，达到付款条件起</w:t>
      </w:r>
      <w:r>
        <w:rPr>
          <w:rFonts w:hint="eastAsia" w:ascii="仿宋" w:hAnsi="仿宋" w:eastAsia="仿宋" w:cs="仿宋"/>
          <w:bCs/>
          <w:sz w:val="20"/>
          <w:szCs w:val="20"/>
          <w:highlight w:val="none"/>
          <w:lang w:val="en-US" w:eastAsia="zh-CN"/>
        </w:rPr>
        <w:t>30</w:t>
      </w:r>
      <w:r>
        <w:rPr>
          <w:rFonts w:hint="eastAsia" w:ascii="仿宋" w:hAnsi="仿宋" w:eastAsia="仿宋" w:cs="仿宋"/>
          <w:bCs/>
          <w:sz w:val="20"/>
          <w:szCs w:val="20"/>
          <w:highlight w:val="none"/>
        </w:rPr>
        <w:t>日内，支付合同总金额的100%。</w:t>
      </w:r>
    </w:p>
    <w:p w14:paraId="2BB89144">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en-US" w:eastAsia="zh-CN"/>
        </w:rPr>
        <w:t>支付</w:t>
      </w:r>
      <w:r>
        <w:rPr>
          <w:rFonts w:hint="eastAsia" w:ascii="仿宋" w:hAnsi="仿宋" w:eastAsia="仿宋" w:cs="仿宋"/>
          <w:bCs/>
          <w:sz w:val="20"/>
          <w:szCs w:val="20"/>
          <w:highlight w:val="none"/>
        </w:rPr>
        <w:t>方式：银行转账。</w:t>
      </w:r>
    </w:p>
    <w:p w14:paraId="62D30CA3">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（三）结算</w:t>
      </w:r>
      <w:r>
        <w:rPr>
          <w:rFonts w:hint="eastAsia" w:ascii="仿宋" w:hAnsi="仿宋" w:eastAsia="仿宋" w:cs="仿宋"/>
          <w:bCs/>
          <w:sz w:val="20"/>
          <w:szCs w:val="20"/>
          <w:highlight w:val="none"/>
          <w:lang w:val="en-US" w:eastAsia="zh-CN"/>
        </w:rPr>
        <w:t>方式</w:t>
      </w:r>
      <w:r>
        <w:rPr>
          <w:rFonts w:hint="eastAsia" w:ascii="仿宋" w:hAnsi="仿宋" w:eastAsia="仿宋" w:cs="仿宋"/>
          <w:bCs/>
          <w:sz w:val="20"/>
          <w:szCs w:val="20"/>
          <w:highlight w:val="none"/>
        </w:rPr>
        <w:t>：在甲方进行付款前，乙方需向甲方开具等额的增值税普通发票，因乙方未及时提供发票引起的支付延误由乙方自行承担责任。</w:t>
      </w:r>
    </w:p>
    <w:p w14:paraId="48102A74">
      <w:pPr>
        <w:keepNext w:val="0"/>
        <w:keepLines w:val="0"/>
        <w:pageBreakBefore w:val="0"/>
        <w:widowControl/>
        <w:kinsoku/>
        <w:wordWrap/>
        <w:overflowPunct/>
        <w:topLinePunct w:val="0"/>
        <w:autoSpaceDE w:val="0"/>
        <w:autoSpaceDN w:val="0"/>
        <w:bidi w:val="0"/>
        <w:adjustRightInd w:val="0"/>
        <w:snapToGrid/>
        <w:spacing w:after="0" w:line="240" w:lineRule="auto"/>
        <w:ind w:firstLine="402" w:firstLineChars="200"/>
        <w:textAlignment w:val="auto"/>
        <w:outlineLvl w:val="1"/>
        <w:rPr>
          <w:rFonts w:hint="eastAsia" w:ascii="仿宋" w:hAnsi="仿宋" w:eastAsia="仿宋" w:cs="仿宋"/>
          <w:b/>
          <w:sz w:val="20"/>
          <w:szCs w:val="20"/>
          <w:highlight w:val="none"/>
          <w:lang w:val="en-US" w:eastAsia="zh-CN"/>
        </w:rPr>
      </w:pPr>
      <w:bookmarkStart w:id="2" w:name="_Toc6938"/>
      <w:r>
        <w:rPr>
          <w:rFonts w:hint="eastAsia" w:ascii="仿宋" w:hAnsi="仿宋" w:eastAsia="仿宋" w:cs="仿宋"/>
          <w:b/>
          <w:sz w:val="20"/>
          <w:szCs w:val="20"/>
          <w:highlight w:val="none"/>
        </w:rPr>
        <w:t>五、</w:t>
      </w:r>
      <w:r>
        <w:rPr>
          <w:rFonts w:hint="eastAsia" w:ascii="仿宋" w:hAnsi="仿宋" w:eastAsia="仿宋" w:cs="仿宋"/>
          <w:b/>
          <w:sz w:val="20"/>
          <w:szCs w:val="20"/>
          <w:highlight w:val="none"/>
          <w:lang w:val="en-US" w:eastAsia="zh-CN"/>
        </w:rPr>
        <w:t>服务内容及要求</w:t>
      </w:r>
    </w:p>
    <w:p w14:paraId="420463A8">
      <w:pPr>
        <w:pStyle w:val="2"/>
        <w:keepNext w:val="0"/>
        <w:keepLines w:val="0"/>
        <w:pageBreakBefore w:val="0"/>
        <w:widowControl/>
        <w:kinsoku/>
        <w:wordWrap/>
        <w:overflowPunct/>
        <w:topLinePunct w:val="0"/>
        <w:bidi w:val="0"/>
        <w:snapToGrid/>
        <w:spacing w:before="0" w:after="0" w:line="24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（一）服务内容</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4701"/>
        <w:gridCol w:w="1616"/>
        <w:gridCol w:w="616"/>
      </w:tblGrid>
      <w:tr w14:paraId="6629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59" w:type="dxa"/>
            <w:noWrap w:val="0"/>
            <w:vAlign w:val="center"/>
          </w:tcPr>
          <w:p w14:paraId="22594EF5">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序号</w:t>
            </w:r>
          </w:p>
        </w:tc>
        <w:tc>
          <w:tcPr>
            <w:tcW w:w="4701" w:type="dxa"/>
            <w:noWrap w:val="0"/>
            <w:vAlign w:val="center"/>
          </w:tcPr>
          <w:p w14:paraId="4C3BD9A1">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单位</w:t>
            </w:r>
          </w:p>
        </w:tc>
        <w:tc>
          <w:tcPr>
            <w:tcW w:w="0" w:type="auto"/>
            <w:noWrap w:val="0"/>
            <w:vAlign w:val="center"/>
          </w:tcPr>
          <w:p w14:paraId="4153294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网络类型</w:t>
            </w:r>
          </w:p>
        </w:tc>
        <w:tc>
          <w:tcPr>
            <w:tcW w:w="0" w:type="auto"/>
            <w:noWrap w:val="0"/>
            <w:vAlign w:val="center"/>
          </w:tcPr>
          <w:p w14:paraId="62D0134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带宽</w:t>
            </w:r>
          </w:p>
        </w:tc>
      </w:tr>
      <w:tr w14:paraId="7AAA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6BC1C362">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w:t>
            </w:r>
          </w:p>
        </w:tc>
        <w:tc>
          <w:tcPr>
            <w:tcW w:w="4701" w:type="dxa"/>
            <w:noWrap w:val="0"/>
            <w:vAlign w:val="center"/>
          </w:tcPr>
          <w:p w14:paraId="6F270D03">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劳动监察大队（浐灞商务中心）</w:t>
            </w:r>
          </w:p>
        </w:tc>
        <w:tc>
          <w:tcPr>
            <w:tcW w:w="0" w:type="auto"/>
            <w:noWrap w:val="0"/>
            <w:vAlign w:val="center"/>
          </w:tcPr>
          <w:p w14:paraId="366BC6D7">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0997FD94">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50M</w:t>
            </w:r>
          </w:p>
        </w:tc>
      </w:tr>
      <w:tr w14:paraId="3789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3FF41BC7">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2</w:t>
            </w:r>
          </w:p>
        </w:tc>
        <w:tc>
          <w:tcPr>
            <w:tcW w:w="4701" w:type="dxa"/>
            <w:noWrap w:val="0"/>
            <w:vAlign w:val="center"/>
          </w:tcPr>
          <w:p w14:paraId="4950EBDB">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公共服务局（物联网大厦）</w:t>
            </w:r>
          </w:p>
        </w:tc>
        <w:tc>
          <w:tcPr>
            <w:tcW w:w="0" w:type="auto"/>
            <w:noWrap w:val="0"/>
            <w:vAlign w:val="center"/>
          </w:tcPr>
          <w:p w14:paraId="1BD72283">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794EAC7A">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50M</w:t>
            </w:r>
          </w:p>
        </w:tc>
      </w:tr>
      <w:tr w14:paraId="2FFA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4CC65FDD">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3</w:t>
            </w:r>
          </w:p>
        </w:tc>
        <w:tc>
          <w:tcPr>
            <w:tcW w:w="4701" w:type="dxa"/>
            <w:noWrap w:val="0"/>
            <w:vAlign w:val="center"/>
          </w:tcPr>
          <w:p w14:paraId="05D4525D">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住房建设局（物联网大厦）</w:t>
            </w:r>
          </w:p>
        </w:tc>
        <w:tc>
          <w:tcPr>
            <w:tcW w:w="0" w:type="auto"/>
            <w:noWrap w:val="0"/>
            <w:vAlign w:val="center"/>
          </w:tcPr>
          <w:p w14:paraId="4E8121E4">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501463DF">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50M</w:t>
            </w:r>
          </w:p>
        </w:tc>
      </w:tr>
      <w:tr w14:paraId="0CAA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62AE4830">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4</w:t>
            </w:r>
          </w:p>
        </w:tc>
        <w:tc>
          <w:tcPr>
            <w:tcW w:w="4701" w:type="dxa"/>
            <w:noWrap w:val="0"/>
            <w:vAlign w:val="center"/>
          </w:tcPr>
          <w:p w14:paraId="02C55655">
            <w:pPr>
              <w:pStyle w:val="5"/>
              <w:spacing w:line="240" w:lineRule="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金融商务产业园</w:t>
            </w:r>
          </w:p>
        </w:tc>
        <w:tc>
          <w:tcPr>
            <w:tcW w:w="0" w:type="auto"/>
            <w:noWrap w:val="0"/>
            <w:vAlign w:val="center"/>
          </w:tcPr>
          <w:p w14:paraId="2E5FE3A2">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49F0A5E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150M</w:t>
            </w:r>
          </w:p>
        </w:tc>
      </w:tr>
      <w:tr w14:paraId="4A39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4358FA30">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w:t>
            </w:r>
          </w:p>
        </w:tc>
        <w:tc>
          <w:tcPr>
            <w:tcW w:w="4701" w:type="dxa"/>
            <w:noWrap w:val="0"/>
            <w:vAlign w:val="center"/>
          </w:tcPr>
          <w:p w14:paraId="1B83608B">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总部经济</w:t>
            </w:r>
            <w:r>
              <w:rPr>
                <w:rFonts w:hint="eastAsia" w:ascii="仿宋_GB2312" w:hAnsi="仿宋_GB2312" w:eastAsia="仿宋_GB2312" w:cs="仿宋_GB2312"/>
                <w:highlight w:val="none"/>
                <w:lang w:val="en-US" w:eastAsia="zh-CN"/>
              </w:rPr>
              <w:t>产业园</w:t>
            </w:r>
          </w:p>
        </w:tc>
        <w:tc>
          <w:tcPr>
            <w:tcW w:w="0" w:type="auto"/>
            <w:noWrap w:val="0"/>
            <w:vAlign w:val="center"/>
          </w:tcPr>
          <w:p w14:paraId="22840C7F">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5EFADAD5">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100M</w:t>
            </w:r>
          </w:p>
        </w:tc>
      </w:tr>
      <w:tr w14:paraId="3750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38122CDA">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6</w:t>
            </w:r>
          </w:p>
        </w:tc>
        <w:tc>
          <w:tcPr>
            <w:tcW w:w="4701" w:type="dxa"/>
            <w:noWrap w:val="0"/>
            <w:vAlign w:val="center"/>
          </w:tcPr>
          <w:p w14:paraId="717B1634">
            <w:pPr>
              <w:pStyle w:val="5"/>
              <w:spacing w:line="240" w:lineRule="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雁鸣生态产业园</w:t>
            </w:r>
          </w:p>
        </w:tc>
        <w:tc>
          <w:tcPr>
            <w:tcW w:w="0" w:type="auto"/>
            <w:noWrap w:val="0"/>
            <w:vAlign w:val="center"/>
          </w:tcPr>
          <w:p w14:paraId="35BE6971">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2EC7AEC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100M</w:t>
            </w:r>
          </w:p>
        </w:tc>
      </w:tr>
      <w:tr w14:paraId="231E5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27D583E6">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7</w:t>
            </w:r>
          </w:p>
        </w:tc>
        <w:tc>
          <w:tcPr>
            <w:tcW w:w="4701" w:type="dxa"/>
            <w:noWrap w:val="0"/>
            <w:vAlign w:val="center"/>
          </w:tcPr>
          <w:p w14:paraId="5C211407">
            <w:pPr>
              <w:pStyle w:val="5"/>
              <w:spacing w:line="240" w:lineRule="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eastAsia="zh-CN"/>
              </w:rPr>
              <w:t>世园</w:t>
            </w:r>
            <w:r>
              <w:rPr>
                <w:rFonts w:hint="eastAsia" w:ascii="仿宋_GB2312" w:hAnsi="仿宋_GB2312" w:eastAsia="仿宋_GB2312" w:cs="仿宋_GB2312"/>
                <w:highlight w:val="none"/>
                <w:lang w:val="en-US" w:eastAsia="zh-CN"/>
              </w:rPr>
              <w:t>会展产业园</w:t>
            </w:r>
          </w:p>
        </w:tc>
        <w:tc>
          <w:tcPr>
            <w:tcW w:w="0" w:type="auto"/>
            <w:noWrap w:val="0"/>
            <w:vAlign w:val="center"/>
          </w:tcPr>
          <w:p w14:paraId="5BA00E7E">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33B6B745">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50M</w:t>
            </w:r>
          </w:p>
        </w:tc>
      </w:tr>
      <w:tr w14:paraId="328C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14BC40E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8</w:t>
            </w:r>
          </w:p>
        </w:tc>
        <w:tc>
          <w:tcPr>
            <w:tcW w:w="4701" w:type="dxa"/>
            <w:noWrap w:val="0"/>
            <w:vAlign w:val="center"/>
          </w:tcPr>
          <w:p w14:paraId="778235DF">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湿地</w:t>
            </w:r>
            <w:r>
              <w:rPr>
                <w:rFonts w:hint="eastAsia" w:ascii="仿宋_GB2312" w:hAnsi="仿宋_GB2312" w:eastAsia="仿宋_GB2312" w:cs="仿宋_GB2312"/>
                <w:highlight w:val="none"/>
                <w:lang w:val="en-US" w:eastAsia="zh-CN"/>
              </w:rPr>
              <w:t>文旅</w:t>
            </w:r>
            <w:r>
              <w:rPr>
                <w:rFonts w:hint="eastAsia" w:ascii="仿宋_GB2312" w:hAnsi="仿宋_GB2312" w:eastAsia="仿宋_GB2312" w:cs="仿宋_GB2312"/>
                <w:highlight w:val="none"/>
                <w:lang w:eastAsia="zh-CN"/>
              </w:rPr>
              <w:t>产业园</w:t>
            </w:r>
          </w:p>
        </w:tc>
        <w:tc>
          <w:tcPr>
            <w:tcW w:w="0" w:type="auto"/>
            <w:noWrap w:val="0"/>
            <w:vAlign w:val="center"/>
          </w:tcPr>
          <w:p w14:paraId="08FDD8C3">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4533148F">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100M</w:t>
            </w:r>
          </w:p>
        </w:tc>
      </w:tr>
      <w:tr w14:paraId="2D40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746D3FA8">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9</w:t>
            </w:r>
          </w:p>
        </w:tc>
        <w:tc>
          <w:tcPr>
            <w:tcW w:w="4701" w:type="dxa"/>
            <w:noWrap w:val="0"/>
            <w:vAlign w:val="center"/>
          </w:tcPr>
          <w:p w14:paraId="6C1A74EC">
            <w:pPr>
              <w:pStyle w:val="5"/>
              <w:spacing w:line="240" w:lineRule="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数字商贸产业园</w:t>
            </w:r>
          </w:p>
        </w:tc>
        <w:tc>
          <w:tcPr>
            <w:tcW w:w="0" w:type="auto"/>
            <w:noWrap w:val="0"/>
            <w:vAlign w:val="center"/>
          </w:tcPr>
          <w:p w14:paraId="0FC0C69C">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7B00F791">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50M</w:t>
            </w:r>
          </w:p>
        </w:tc>
      </w:tr>
      <w:tr w14:paraId="4929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69B79C5C">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10</w:t>
            </w:r>
          </w:p>
        </w:tc>
        <w:tc>
          <w:tcPr>
            <w:tcW w:w="4701" w:type="dxa"/>
            <w:noWrap w:val="0"/>
            <w:vAlign w:val="center"/>
          </w:tcPr>
          <w:p w14:paraId="365C5494">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中央商务区及现代商贸产业园</w:t>
            </w:r>
            <w:r>
              <w:rPr>
                <w:rFonts w:hint="eastAsia" w:ascii="仿宋_GB2312" w:hAnsi="仿宋_GB2312" w:eastAsia="仿宋_GB2312" w:cs="仿宋_GB2312"/>
                <w:highlight w:val="none"/>
                <w:lang w:eastAsia="zh-CN"/>
              </w:rPr>
              <w:t>、住建局市政配套中心（国际商事法庭办公楼）</w:t>
            </w:r>
          </w:p>
        </w:tc>
        <w:tc>
          <w:tcPr>
            <w:tcW w:w="0" w:type="auto"/>
            <w:noWrap w:val="0"/>
            <w:vAlign w:val="center"/>
          </w:tcPr>
          <w:p w14:paraId="4F3D3D23">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251A09CB">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100M</w:t>
            </w:r>
          </w:p>
        </w:tc>
      </w:tr>
      <w:tr w14:paraId="030F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0CBAF392">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11</w:t>
            </w:r>
          </w:p>
        </w:tc>
        <w:tc>
          <w:tcPr>
            <w:tcW w:w="4701" w:type="dxa"/>
            <w:noWrap w:val="0"/>
            <w:vAlign w:val="center"/>
          </w:tcPr>
          <w:p w14:paraId="06DAA4CE">
            <w:pPr>
              <w:pStyle w:val="5"/>
              <w:spacing w:line="240" w:lineRule="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城管执法局（</w:t>
            </w:r>
            <w:r>
              <w:rPr>
                <w:rFonts w:ascii="仿宋_GB2312" w:hAnsi="仿宋_GB2312" w:eastAsia="仿宋_GB2312" w:cs="仿宋_GB2312"/>
                <w:sz w:val="19"/>
              </w:rPr>
              <w:t>北片区</w:t>
            </w:r>
            <w:r>
              <w:rPr>
                <w:rFonts w:hint="eastAsia" w:ascii="仿宋_GB2312" w:hAnsi="仿宋_GB2312" w:eastAsia="仿宋_GB2312" w:cs="仿宋_GB2312"/>
                <w:highlight w:val="none"/>
                <w:lang w:eastAsia="zh-CN"/>
              </w:rPr>
              <w:t>）</w:t>
            </w:r>
          </w:p>
        </w:tc>
        <w:tc>
          <w:tcPr>
            <w:tcW w:w="0" w:type="auto"/>
            <w:noWrap w:val="0"/>
            <w:vAlign w:val="center"/>
          </w:tcPr>
          <w:p w14:paraId="7AD4B03D">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互联网安全专线</w:t>
            </w:r>
          </w:p>
        </w:tc>
        <w:tc>
          <w:tcPr>
            <w:tcW w:w="0" w:type="auto"/>
            <w:noWrap w:val="0"/>
            <w:vAlign w:val="center"/>
          </w:tcPr>
          <w:p w14:paraId="5F921CC4">
            <w:pPr>
              <w:pStyle w:val="5"/>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200M</w:t>
            </w:r>
          </w:p>
        </w:tc>
      </w:tr>
      <w:tr w14:paraId="62A1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37C5AF34">
            <w:pPr>
              <w:pStyle w:val="5"/>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12</w:t>
            </w:r>
          </w:p>
        </w:tc>
        <w:tc>
          <w:tcPr>
            <w:tcW w:w="4701" w:type="dxa"/>
            <w:noWrap w:val="0"/>
            <w:vAlign w:val="top"/>
          </w:tcPr>
          <w:p w14:paraId="6B63206F">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新筑街办</w:t>
            </w:r>
          </w:p>
        </w:tc>
        <w:tc>
          <w:tcPr>
            <w:tcW w:w="1616" w:type="dxa"/>
            <w:noWrap w:val="0"/>
            <w:vAlign w:val="top"/>
          </w:tcPr>
          <w:p w14:paraId="6B1D7CC5">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政务外网</w:t>
            </w:r>
          </w:p>
        </w:tc>
        <w:tc>
          <w:tcPr>
            <w:tcW w:w="616" w:type="dxa"/>
            <w:noWrap w:val="0"/>
            <w:vAlign w:val="top"/>
          </w:tcPr>
          <w:p w14:paraId="00BD4593">
            <w:pPr>
              <w:pStyle w:val="5"/>
              <w:jc w:val="center"/>
              <w:rPr>
                <w:rFonts w:hint="eastAsia" w:ascii="仿宋_GB2312" w:hAnsi="仿宋_GB2312" w:eastAsia="仿宋_GB2312" w:cs="仿宋_GB2312"/>
                <w:highlight w:val="none"/>
                <w:lang w:eastAsia="zh-CN"/>
              </w:rPr>
            </w:pPr>
            <w:r>
              <w:rPr>
                <w:rFonts w:ascii="仿宋_GB2312" w:hAnsi="仿宋_GB2312" w:eastAsia="仿宋_GB2312" w:cs="仿宋_GB2312"/>
                <w:sz w:val="19"/>
              </w:rPr>
              <w:t>6M</w:t>
            </w:r>
          </w:p>
        </w:tc>
      </w:tr>
      <w:tr w14:paraId="07ED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5DEB288E">
            <w:pPr>
              <w:pStyle w:val="5"/>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13</w:t>
            </w:r>
          </w:p>
        </w:tc>
        <w:tc>
          <w:tcPr>
            <w:tcW w:w="4701" w:type="dxa"/>
            <w:noWrap w:val="0"/>
            <w:vAlign w:val="top"/>
          </w:tcPr>
          <w:p w14:paraId="075A7950">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新合街办</w:t>
            </w:r>
          </w:p>
        </w:tc>
        <w:tc>
          <w:tcPr>
            <w:tcW w:w="1616" w:type="dxa"/>
            <w:noWrap w:val="0"/>
            <w:vAlign w:val="top"/>
          </w:tcPr>
          <w:p w14:paraId="55FDA9EA">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政务外网</w:t>
            </w:r>
          </w:p>
        </w:tc>
        <w:tc>
          <w:tcPr>
            <w:tcW w:w="616" w:type="dxa"/>
            <w:noWrap w:val="0"/>
            <w:vAlign w:val="top"/>
          </w:tcPr>
          <w:p w14:paraId="04C335B4">
            <w:pPr>
              <w:pStyle w:val="5"/>
              <w:jc w:val="center"/>
              <w:rPr>
                <w:rFonts w:hint="eastAsia" w:ascii="仿宋_GB2312" w:hAnsi="仿宋_GB2312" w:eastAsia="仿宋_GB2312" w:cs="仿宋_GB2312"/>
                <w:highlight w:val="none"/>
                <w:lang w:eastAsia="zh-CN"/>
              </w:rPr>
            </w:pPr>
            <w:r>
              <w:rPr>
                <w:rFonts w:ascii="仿宋_GB2312" w:hAnsi="仿宋_GB2312" w:eastAsia="仿宋_GB2312" w:cs="仿宋_GB2312"/>
                <w:sz w:val="19"/>
              </w:rPr>
              <w:t>6M</w:t>
            </w:r>
          </w:p>
        </w:tc>
      </w:tr>
      <w:tr w14:paraId="44C4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6F9DBCB1">
            <w:pPr>
              <w:pStyle w:val="5"/>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14</w:t>
            </w:r>
          </w:p>
        </w:tc>
        <w:tc>
          <w:tcPr>
            <w:tcW w:w="4701" w:type="dxa"/>
            <w:noWrap w:val="0"/>
            <w:vAlign w:val="top"/>
          </w:tcPr>
          <w:p w14:paraId="7B4DA53A">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城管执法局（北片区）</w:t>
            </w:r>
          </w:p>
        </w:tc>
        <w:tc>
          <w:tcPr>
            <w:tcW w:w="1616" w:type="dxa"/>
            <w:noWrap w:val="0"/>
            <w:vAlign w:val="top"/>
          </w:tcPr>
          <w:p w14:paraId="6F50B97F">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政务外网</w:t>
            </w:r>
          </w:p>
        </w:tc>
        <w:tc>
          <w:tcPr>
            <w:tcW w:w="616" w:type="dxa"/>
            <w:noWrap w:val="0"/>
            <w:vAlign w:val="top"/>
          </w:tcPr>
          <w:p w14:paraId="4D2B9987">
            <w:pPr>
              <w:pStyle w:val="5"/>
              <w:jc w:val="center"/>
              <w:rPr>
                <w:rFonts w:hint="eastAsia" w:ascii="仿宋_GB2312" w:hAnsi="仿宋_GB2312" w:eastAsia="仿宋_GB2312" w:cs="仿宋_GB2312"/>
                <w:highlight w:val="none"/>
                <w:lang w:eastAsia="zh-CN"/>
              </w:rPr>
            </w:pPr>
            <w:r>
              <w:rPr>
                <w:rFonts w:ascii="仿宋_GB2312" w:hAnsi="仿宋_GB2312" w:eastAsia="仿宋_GB2312" w:cs="仿宋_GB2312"/>
                <w:sz w:val="19"/>
              </w:rPr>
              <w:t>20M</w:t>
            </w:r>
          </w:p>
        </w:tc>
      </w:tr>
      <w:tr w14:paraId="5107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9" w:type="dxa"/>
            <w:noWrap w:val="0"/>
            <w:vAlign w:val="center"/>
          </w:tcPr>
          <w:p w14:paraId="799B3A3C">
            <w:pPr>
              <w:pStyle w:val="5"/>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15</w:t>
            </w:r>
          </w:p>
        </w:tc>
        <w:tc>
          <w:tcPr>
            <w:tcW w:w="4701" w:type="dxa"/>
            <w:noWrap w:val="0"/>
            <w:vAlign w:val="top"/>
          </w:tcPr>
          <w:p w14:paraId="637F7907">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住房建设局</w:t>
            </w:r>
          </w:p>
        </w:tc>
        <w:tc>
          <w:tcPr>
            <w:tcW w:w="1616" w:type="dxa"/>
            <w:noWrap w:val="0"/>
            <w:vAlign w:val="top"/>
          </w:tcPr>
          <w:p w14:paraId="38B19825">
            <w:pPr>
              <w:pStyle w:val="5"/>
              <w:jc w:val="left"/>
              <w:rPr>
                <w:rFonts w:hint="eastAsia" w:ascii="仿宋_GB2312" w:hAnsi="仿宋_GB2312" w:eastAsia="仿宋_GB2312" w:cs="仿宋_GB2312"/>
                <w:highlight w:val="none"/>
                <w:lang w:eastAsia="zh-CN"/>
              </w:rPr>
            </w:pPr>
            <w:r>
              <w:rPr>
                <w:rFonts w:ascii="仿宋_GB2312" w:hAnsi="仿宋_GB2312" w:eastAsia="仿宋_GB2312" w:cs="仿宋_GB2312"/>
                <w:sz w:val="19"/>
              </w:rPr>
              <w:t>专用内网</w:t>
            </w:r>
          </w:p>
        </w:tc>
        <w:tc>
          <w:tcPr>
            <w:tcW w:w="616" w:type="dxa"/>
            <w:noWrap w:val="0"/>
            <w:vAlign w:val="top"/>
          </w:tcPr>
          <w:p w14:paraId="2EF9040B">
            <w:pPr>
              <w:pStyle w:val="5"/>
              <w:jc w:val="center"/>
              <w:rPr>
                <w:rFonts w:hint="eastAsia" w:ascii="仿宋_GB2312" w:hAnsi="仿宋_GB2312" w:eastAsia="仿宋_GB2312" w:cs="仿宋_GB2312"/>
                <w:highlight w:val="none"/>
                <w:lang w:eastAsia="zh-CN"/>
              </w:rPr>
            </w:pPr>
            <w:r>
              <w:rPr>
                <w:rFonts w:ascii="仿宋_GB2312" w:hAnsi="仿宋_GB2312" w:eastAsia="仿宋_GB2312" w:cs="仿宋_GB2312"/>
                <w:sz w:val="19"/>
              </w:rPr>
              <w:t>10M</w:t>
            </w:r>
          </w:p>
        </w:tc>
      </w:tr>
    </w:tbl>
    <w:p w14:paraId="1DEE27CA">
      <w:pPr>
        <w:pStyle w:val="2"/>
        <w:keepNext w:val="0"/>
        <w:keepLines w:val="0"/>
        <w:pageBreakBefore w:val="0"/>
        <w:widowControl/>
        <w:kinsoku/>
        <w:wordWrap/>
        <w:overflowPunct/>
        <w:topLinePunct w:val="0"/>
        <w:bidi w:val="0"/>
        <w:snapToGrid/>
        <w:spacing w:before="0" w:after="0" w:line="24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（二）技术要求</w:t>
      </w:r>
    </w:p>
    <w:p w14:paraId="39512E11">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1、传输性能要求</w:t>
      </w:r>
    </w:p>
    <w:p w14:paraId="1C481007">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①‌带宽范围‌：支持 ‌2Mbps～10Gbps‌ 弹性速率（含2M/155M/622M/2.5G等阶梯选项），提供独占对称带宽保障。</w:t>
      </w:r>
    </w:p>
    <w:p w14:paraId="2C64025A">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②‌延迟控制‌：采用 ‌SDH同步数字传输技术‌，跨城市/跨省传输延迟≤15ms（3000公里内），单点故障切换时间&lt;50ms。</w:t>
      </w:r>
    </w:p>
    <w:p w14:paraId="7401494D">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③‌可用性‌：全网SLA承诺 ‌≥99.99%可用性‌（年中断时长≤52分钟）。</w:t>
      </w:r>
    </w:p>
    <w:p w14:paraId="685BDA07">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2、网络架构与安全</w:t>
      </w:r>
    </w:p>
    <w:p w14:paraId="600A95F9">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①‌物理隔离‌：通过 ‌MSTP多业务传输平台‌ 实现用户数据通道独立，杜绝共享干扰。</w:t>
      </w:r>
    </w:p>
    <w:p w14:paraId="736A7FEF">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②‌冗余设计‌：支持 ‌双节点灾备‌ 和 ‌双路物理专线热备‌，骨干带宽达400Gbps。</w:t>
      </w:r>
    </w:p>
    <w:p w14:paraId="39125E63">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③‌传输加密‌：强制 ‌IPSec VPN加密‌，保障端到端数据安全。</w:t>
      </w:r>
    </w:p>
    <w:p w14:paraId="4313DC97">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3、接入与接口规范</w:t>
      </w:r>
    </w:p>
    <w:p w14:paraId="2333B188">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①‌接入方式‌：支持光纤直连、PON无源光网络、SDH/MSTP专线接入。</w:t>
      </w:r>
    </w:p>
    <w:p w14:paraId="047AD3A2">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②‌接口标准‌：</w:t>
      </w:r>
    </w:p>
    <w:p w14:paraId="00D7DA96">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电接口：‌G.703标准‌（2M/34M/45M速率）。</w:t>
      </w:r>
    </w:p>
    <w:p w14:paraId="4891972E">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光接口：‌STM-1/STM-4‌（155M/622M速率）及 ‌10G EPON‌。</w:t>
      </w:r>
    </w:p>
    <w:p w14:paraId="2E437352">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4、开通与运维要求</w:t>
      </w:r>
    </w:p>
    <w:p w14:paraId="3C6088D7">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‌资质审核‌：需企业营业执照+法定代表人身份证实名认证。</w:t>
      </w:r>
    </w:p>
    <w:p w14:paraId="735606FB">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‌部署时效‌：申请后72小时内完成勘查与专线部署</w:t>
      </w:r>
    </w:p>
    <w:p w14:paraId="743DACA3">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（三）服务要求</w:t>
      </w:r>
    </w:p>
    <w:p w14:paraId="574CA12D">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1.双方承诺严格遵守《中华人民共和国电信条例》等国家有关法律法规履行本合同，维护双方权益。</w:t>
      </w:r>
    </w:p>
    <w:p w14:paraId="60A25E14">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2.乙方按国家电信主管部门颁布的电信服务标准和电路质量要求，保证电路服务畅通。</w:t>
      </w:r>
    </w:p>
    <w:p w14:paraId="72BD698C">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3.每季度对网络设备进行例行巡检。</w:t>
      </w:r>
    </w:p>
    <w:p w14:paraId="57B7B667">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4.乙方为甲方提供大客户故障受理热线服务，受理并处理甲方全程端到端的故障申告。</w:t>
      </w:r>
    </w:p>
    <w:p w14:paraId="224392DD">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5.全年7*24 电话受理故障，提供电话、邮件技术支持，远程解决故障；如需现场支持，则4小时内到现场。</w:t>
      </w:r>
    </w:p>
    <w:p w14:paraId="1AC091F0">
      <w:pPr>
        <w:pStyle w:val="5"/>
        <w:keepNext w:val="0"/>
        <w:keepLines w:val="0"/>
        <w:pageBreakBefore w:val="0"/>
        <w:widowControl/>
        <w:kinsoku/>
        <w:wordWrap/>
        <w:overflowPunct/>
        <w:topLinePunct w:val="0"/>
        <w:bidi w:val="0"/>
        <w:snapToGrid/>
        <w:spacing w:line="240" w:lineRule="auto"/>
        <w:ind w:firstLine="400" w:firstLineChars="200"/>
        <w:textAlignment w:val="auto"/>
        <w:rPr>
          <w:rFonts w:hint="eastAsia" w:ascii="仿宋" w:hAnsi="仿宋" w:eastAsia="仿宋" w:cs="仿宋"/>
          <w:b/>
          <w:sz w:val="20"/>
          <w:szCs w:val="20"/>
          <w:highlight w:val="none"/>
          <w:lang w:val="en-US" w:eastAsia="zh-CN"/>
        </w:rPr>
      </w:pPr>
      <w:r>
        <w:rPr>
          <w:rFonts w:hint="eastAsia" w:ascii="仿宋" w:hAnsi="仿宋" w:eastAsia="仿宋" w:cs="仿宋"/>
          <w:sz w:val="20"/>
          <w:szCs w:val="20"/>
          <w:highlight w:val="none"/>
          <w:lang w:val="en-US" w:eastAsia="zh-CN"/>
        </w:rPr>
        <w:t>6.故障解决不超过4小时（设备更换除外）</w:t>
      </w:r>
    </w:p>
    <w:p w14:paraId="3CB53D39">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outlineLvl w:val="1"/>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六、</w:t>
      </w:r>
      <w:r>
        <w:rPr>
          <w:rFonts w:hint="eastAsia" w:ascii="仿宋" w:hAnsi="仿宋" w:eastAsia="仿宋" w:cs="仿宋"/>
          <w:b/>
          <w:sz w:val="20"/>
          <w:szCs w:val="20"/>
          <w:highlight w:val="none"/>
        </w:rPr>
        <w:t>双方的权利和义务</w:t>
      </w:r>
      <w:bookmarkEnd w:id="2"/>
    </w:p>
    <w:p w14:paraId="70466B81">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（一）甲方的权利与义务</w:t>
      </w:r>
    </w:p>
    <w:p w14:paraId="13FA20BB">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1、甲方负责配合本次项目服务工作；</w:t>
      </w:r>
    </w:p>
    <w:p w14:paraId="4EBBAB37">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2、甲方应按本合同的约定向乙方支付合同价款；</w:t>
      </w:r>
    </w:p>
    <w:p w14:paraId="4E8190D0">
      <w:pPr>
        <w:keepNext w:val="0"/>
        <w:keepLines w:val="0"/>
        <w:pageBreakBefore w:val="0"/>
        <w:widowControl/>
        <w:kinsoku/>
        <w:wordWrap/>
        <w:overflowPunct/>
        <w:topLinePunct w:val="0"/>
        <w:bidi w:val="0"/>
        <w:snapToGri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3、甲方根据需要对乙方提供的</w:t>
      </w:r>
      <w:r>
        <w:rPr>
          <w:rFonts w:hint="eastAsia" w:ascii="仿宋" w:hAnsi="仿宋" w:eastAsia="仿宋" w:cs="仿宋"/>
          <w:bCs/>
          <w:sz w:val="20"/>
          <w:szCs w:val="20"/>
          <w:highlight w:val="none"/>
          <w:lang w:eastAsia="zh-CN"/>
        </w:rPr>
        <w:t>服务</w:t>
      </w:r>
      <w:r>
        <w:rPr>
          <w:rFonts w:hint="eastAsia" w:ascii="仿宋" w:hAnsi="仿宋" w:eastAsia="仿宋" w:cs="仿宋"/>
          <w:bCs/>
          <w:sz w:val="20"/>
          <w:szCs w:val="20"/>
          <w:highlight w:val="none"/>
        </w:rPr>
        <w:t>方案进行审核，提供建议及意见，确定最终实施的服务方案，以便乙方遵照执行；</w:t>
      </w:r>
    </w:p>
    <w:p w14:paraId="1050C5A8">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4、甲方有权对乙方的工作进行监督和考核。</w:t>
      </w:r>
    </w:p>
    <w:p w14:paraId="352189F1">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（二）乙方的权利与义务</w:t>
      </w:r>
    </w:p>
    <w:p w14:paraId="20B14965">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1、乙方的工作人员必须严格遵守甲方的规章制度，以良好的形象和积极的工作态度，按甲方要求开展工作；</w:t>
      </w:r>
    </w:p>
    <w:p w14:paraId="2B055F5C">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2、乙方应服从甲方统筹管理并按流程开展工作；</w:t>
      </w:r>
    </w:p>
    <w:p w14:paraId="3CF281C8">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3、乙方保证安排的相关人员需按照指定时间到达指定地点进行服务，乙方在</w:t>
      </w:r>
      <w:r>
        <w:rPr>
          <w:rFonts w:hint="eastAsia" w:ascii="仿宋" w:hAnsi="仿宋" w:eastAsia="仿宋" w:cs="仿宋"/>
          <w:bCs/>
          <w:sz w:val="20"/>
          <w:szCs w:val="20"/>
          <w:highlight w:val="none"/>
          <w:lang w:eastAsia="zh-CN"/>
        </w:rPr>
        <w:t>工作时间</w:t>
      </w:r>
      <w:r>
        <w:rPr>
          <w:rFonts w:hint="eastAsia" w:ascii="仿宋" w:hAnsi="仿宋" w:eastAsia="仿宋" w:cs="仿宋"/>
          <w:bCs/>
          <w:sz w:val="20"/>
          <w:szCs w:val="20"/>
          <w:highlight w:val="none"/>
        </w:rPr>
        <w:t>内不得迟到早退，如有特殊情况，必须事先通知并征得甲方同意；</w:t>
      </w:r>
    </w:p>
    <w:p w14:paraId="03394A3D">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4、乙方提交的方案等应得到甲方确认再予以实施；</w:t>
      </w:r>
    </w:p>
    <w:p w14:paraId="3FAAE501">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5、乙方在服务期间发布的任何涉及有关甲方的相关信息，需经甲方确认无误后方可发布；</w:t>
      </w:r>
    </w:p>
    <w:p w14:paraId="1A160ACD">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6、乙方负责解决所需要的工作条件及相应的工作配合，如场地的使用、水电提供、乙方工作人员出入</w:t>
      </w:r>
      <w:r>
        <w:rPr>
          <w:rFonts w:hint="eastAsia" w:ascii="仿宋" w:hAnsi="仿宋" w:eastAsia="仿宋" w:cs="仿宋"/>
          <w:bCs/>
          <w:sz w:val="20"/>
          <w:szCs w:val="20"/>
          <w:highlight w:val="none"/>
          <w:lang w:eastAsia="zh-CN"/>
        </w:rPr>
        <w:t>等相关</w:t>
      </w:r>
      <w:r>
        <w:rPr>
          <w:rFonts w:hint="eastAsia" w:ascii="仿宋" w:hAnsi="仿宋" w:eastAsia="仿宋" w:cs="仿宋"/>
          <w:bCs/>
          <w:sz w:val="20"/>
          <w:szCs w:val="20"/>
          <w:highlight w:val="none"/>
        </w:rPr>
        <w:t>事宜，甲方有义务提供必要的便利条件。</w:t>
      </w:r>
    </w:p>
    <w:p w14:paraId="69110853">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outlineLvl w:val="1"/>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七</w:t>
      </w:r>
      <w:r>
        <w:rPr>
          <w:rFonts w:hint="eastAsia" w:ascii="仿宋" w:hAnsi="仿宋" w:eastAsia="仿宋" w:cs="仿宋"/>
          <w:b/>
          <w:sz w:val="20"/>
          <w:szCs w:val="20"/>
          <w:highlight w:val="none"/>
        </w:rPr>
        <w:t>、服务质量保证</w:t>
      </w:r>
    </w:p>
    <w:p w14:paraId="6418647B">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（一）乙方需建立高效的管理团队，项目团队组成合理</w:t>
      </w:r>
      <w:r>
        <w:rPr>
          <w:rFonts w:hint="eastAsia" w:ascii="仿宋" w:hAnsi="仿宋" w:eastAsia="仿宋" w:cs="仿宋"/>
          <w:bCs/>
          <w:sz w:val="20"/>
          <w:szCs w:val="20"/>
          <w:highlight w:val="none"/>
          <w:lang w:eastAsia="zh-CN"/>
        </w:rPr>
        <w:t>。</w:t>
      </w:r>
    </w:p>
    <w:p w14:paraId="67C48583">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（二）</w:t>
      </w:r>
      <w:r>
        <w:rPr>
          <w:rFonts w:hint="eastAsia" w:ascii="仿宋" w:hAnsi="仿宋" w:eastAsia="仿宋" w:cs="仿宋"/>
          <w:bCs/>
          <w:sz w:val="20"/>
          <w:szCs w:val="20"/>
          <w:highlight w:val="none"/>
        </w:rPr>
        <w:t>乙方需派一名项目</w:t>
      </w:r>
      <w:r>
        <w:rPr>
          <w:rFonts w:hint="eastAsia" w:ascii="仿宋" w:hAnsi="仿宋" w:eastAsia="仿宋" w:cs="仿宋"/>
          <w:bCs/>
          <w:sz w:val="20"/>
          <w:szCs w:val="20"/>
          <w:highlight w:val="none"/>
          <w:lang w:eastAsia="zh-CN"/>
        </w:rPr>
        <w:t>负责人</w:t>
      </w:r>
      <w:r>
        <w:rPr>
          <w:rFonts w:hint="eastAsia" w:ascii="仿宋" w:hAnsi="仿宋" w:eastAsia="仿宋" w:cs="仿宋"/>
          <w:bCs/>
          <w:sz w:val="20"/>
          <w:szCs w:val="20"/>
          <w:highlight w:val="none"/>
        </w:rPr>
        <w:t>，直接与甲方沟通，项目经理接收甲方提出的问题与要求，并及时反馈给工作组，解决在项目实施过程中遇到的问题。</w:t>
      </w:r>
    </w:p>
    <w:p w14:paraId="7AF84C84">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（三）项目在实施过程中会出现不可预料的需求变更，乙方需积极配合甲方的需求变更，并按照变更后的需求继续实施。</w:t>
      </w:r>
    </w:p>
    <w:p w14:paraId="2FCACE02">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（四）乙方需设有详细的技术资料档案和服务档案以便于更好地提供服务，</w:t>
      </w:r>
      <w:r>
        <w:rPr>
          <w:rFonts w:hint="eastAsia" w:ascii="仿宋" w:hAnsi="仿宋" w:eastAsia="仿宋" w:cs="仿宋"/>
          <w:bCs/>
          <w:sz w:val="20"/>
          <w:szCs w:val="20"/>
          <w:highlight w:val="none"/>
          <w:lang w:eastAsia="zh-CN"/>
        </w:rPr>
        <w:t>项目结束后乙方须向甲方</w:t>
      </w:r>
      <w:r>
        <w:rPr>
          <w:rFonts w:hint="eastAsia" w:ascii="仿宋" w:hAnsi="仿宋" w:eastAsia="仿宋" w:cs="仿宋"/>
          <w:bCs/>
          <w:sz w:val="20"/>
          <w:szCs w:val="20"/>
          <w:highlight w:val="none"/>
        </w:rPr>
        <w:t>提交所有实施方案流程及说明文档。</w:t>
      </w:r>
    </w:p>
    <w:p w14:paraId="258B0CC1">
      <w:pPr>
        <w:keepNext w:val="0"/>
        <w:keepLines w:val="0"/>
        <w:pageBreakBefore w:val="0"/>
        <w:widowControl/>
        <w:kinsoku/>
        <w:wordWrap/>
        <w:overflowPunct/>
        <w:topLinePunct w:val="0"/>
        <w:bidi w:val="0"/>
        <w:spacing w:after="0" w:line="240" w:lineRule="auto"/>
        <w:ind w:firstLine="402" w:firstLineChars="200"/>
        <w:textAlignment w:val="auto"/>
        <w:outlineLvl w:val="1"/>
        <w:rPr>
          <w:rFonts w:hint="eastAsia" w:ascii="仿宋" w:hAnsi="仿宋" w:eastAsia="仿宋" w:cs="仿宋"/>
          <w:b/>
          <w:sz w:val="20"/>
          <w:szCs w:val="20"/>
          <w:highlight w:val="none"/>
        </w:rPr>
      </w:pPr>
      <w:bookmarkStart w:id="3" w:name="_Toc25596"/>
      <w:r>
        <w:rPr>
          <w:rFonts w:hint="eastAsia" w:ascii="仿宋" w:hAnsi="仿宋" w:eastAsia="仿宋" w:cs="仿宋"/>
          <w:b/>
          <w:sz w:val="20"/>
          <w:szCs w:val="20"/>
          <w:highlight w:val="none"/>
          <w:lang w:val="en-US" w:eastAsia="zh-CN"/>
        </w:rPr>
        <w:t>八</w:t>
      </w:r>
      <w:r>
        <w:rPr>
          <w:rFonts w:hint="eastAsia" w:ascii="仿宋" w:hAnsi="仿宋" w:eastAsia="仿宋" w:cs="仿宋"/>
          <w:b/>
          <w:sz w:val="20"/>
          <w:szCs w:val="20"/>
          <w:highlight w:val="none"/>
        </w:rPr>
        <w:t>、知识产权</w:t>
      </w:r>
      <w:bookmarkEnd w:id="3"/>
    </w:p>
    <w:p w14:paraId="0D674BC5">
      <w:pPr>
        <w:keepNext w:val="0"/>
        <w:keepLines w:val="0"/>
        <w:pageBreakBefore w:val="0"/>
        <w:widowControl/>
        <w:kinsoku/>
        <w:wordWrap/>
        <w:overflowPunct/>
        <w:topLinePunct w:val="0"/>
        <w:bidi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（一）本项目知识产权归甲方所有。</w:t>
      </w:r>
    </w:p>
    <w:p w14:paraId="18B52428">
      <w:pPr>
        <w:keepNext w:val="0"/>
        <w:keepLines w:val="0"/>
        <w:pageBreakBefore w:val="0"/>
        <w:widowControl/>
        <w:kinsoku/>
        <w:wordWrap/>
        <w:overflowPunct/>
        <w:topLinePunct w:val="0"/>
        <w:bidi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3FEC5217">
      <w:pPr>
        <w:keepNext w:val="0"/>
        <w:keepLines w:val="0"/>
        <w:pageBreakBefore w:val="0"/>
        <w:widowControl/>
        <w:kinsoku/>
        <w:wordWrap/>
        <w:overflowPunct/>
        <w:topLinePunct w:val="0"/>
        <w:bidi w:val="0"/>
        <w:snapToGri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（三）乙方为执行本合同而提供的技术资料使用权归甲方所有。</w:t>
      </w:r>
    </w:p>
    <w:p w14:paraId="3372E86A">
      <w:pPr>
        <w:keepNext w:val="0"/>
        <w:keepLines w:val="0"/>
        <w:pageBreakBefore w:val="0"/>
        <w:widowControl/>
        <w:kinsoku/>
        <w:wordWrap/>
        <w:overflowPunct/>
        <w:topLinePunct w:val="0"/>
        <w:bidi w:val="0"/>
        <w:spacing w:after="0" w:line="240" w:lineRule="auto"/>
        <w:ind w:firstLine="402" w:firstLineChars="200"/>
        <w:textAlignment w:val="auto"/>
        <w:outlineLvl w:val="1"/>
        <w:rPr>
          <w:rFonts w:hint="eastAsia" w:ascii="仿宋" w:hAnsi="仿宋" w:eastAsia="仿宋" w:cs="仿宋"/>
          <w:b/>
          <w:sz w:val="20"/>
          <w:szCs w:val="20"/>
          <w:highlight w:val="none"/>
        </w:rPr>
      </w:pPr>
      <w:bookmarkStart w:id="4" w:name="_Toc29783"/>
      <w:r>
        <w:rPr>
          <w:rFonts w:hint="eastAsia" w:ascii="仿宋" w:hAnsi="仿宋" w:eastAsia="仿宋" w:cs="仿宋"/>
          <w:b/>
          <w:sz w:val="20"/>
          <w:szCs w:val="20"/>
          <w:highlight w:val="none"/>
          <w:lang w:val="en-US" w:eastAsia="zh-CN"/>
        </w:rPr>
        <w:t>九</w:t>
      </w:r>
      <w:r>
        <w:rPr>
          <w:rFonts w:hint="eastAsia" w:ascii="仿宋" w:hAnsi="仿宋" w:eastAsia="仿宋" w:cs="仿宋"/>
          <w:b/>
          <w:sz w:val="20"/>
          <w:szCs w:val="20"/>
          <w:highlight w:val="none"/>
        </w:rPr>
        <w:t>、保密规定</w:t>
      </w:r>
      <w:bookmarkEnd w:id="4"/>
    </w:p>
    <w:p w14:paraId="73C3709E">
      <w:pPr>
        <w:keepNext w:val="0"/>
        <w:keepLines w:val="0"/>
        <w:pageBreakBefore w:val="0"/>
        <w:widowControl/>
        <w:kinsoku/>
        <w:wordWrap/>
        <w:overflowPunct/>
        <w:topLinePunct w:val="0"/>
        <w:bidi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09BD99D2">
      <w:pPr>
        <w:keepNext w:val="0"/>
        <w:keepLines w:val="0"/>
        <w:pageBreakBefore w:val="0"/>
        <w:widowControl/>
        <w:kinsoku/>
        <w:wordWrap/>
        <w:overflowPunct/>
        <w:topLinePunct w:val="0"/>
        <w:bidi w:val="0"/>
        <w:snapToGrid w:val="0"/>
        <w:spacing w:after="0" w:line="240" w:lineRule="auto"/>
        <w:ind w:firstLine="402" w:firstLineChars="200"/>
        <w:textAlignment w:val="auto"/>
        <w:outlineLvl w:val="1"/>
        <w:rPr>
          <w:rFonts w:hint="eastAsia" w:ascii="仿宋" w:hAnsi="仿宋" w:eastAsia="仿宋" w:cs="仿宋"/>
          <w:b/>
          <w:sz w:val="20"/>
          <w:szCs w:val="20"/>
          <w:highlight w:val="none"/>
        </w:rPr>
      </w:pPr>
      <w:bookmarkStart w:id="5" w:name="_Toc29009"/>
      <w:r>
        <w:rPr>
          <w:rFonts w:hint="eastAsia" w:ascii="仿宋" w:hAnsi="仿宋" w:eastAsia="仿宋" w:cs="仿宋"/>
          <w:b/>
          <w:sz w:val="20"/>
          <w:szCs w:val="20"/>
          <w:highlight w:val="none"/>
          <w:lang w:val="en-US" w:eastAsia="zh-CN"/>
        </w:rPr>
        <w:t>十</w:t>
      </w:r>
      <w:r>
        <w:rPr>
          <w:rFonts w:hint="eastAsia" w:ascii="仿宋" w:hAnsi="仿宋" w:eastAsia="仿宋" w:cs="仿宋"/>
          <w:b/>
          <w:sz w:val="20"/>
          <w:szCs w:val="20"/>
          <w:highlight w:val="none"/>
        </w:rPr>
        <w:t>、其他事项</w:t>
      </w:r>
      <w:bookmarkEnd w:id="5"/>
    </w:p>
    <w:p w14:paraId="45CDAA09">
      <w:pPr>
        <w:keepNext w:val="0"/>
        <w:keepLines w:val="0"/>
        <w:pageBreakBefore w:val="0"/>
        <w:widowControl/>
        <w:kinsoku/>
        <w:wordWrap/>
        <w:overflowPunct/>
        <w:topLinePunct w:val="0"/>
        <w:bidi w:val="0"/>
        <w:snapToGri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（一）乙方不得转让、分包给其它单位或个人。</w:t>
      </w:r>
    </w:p>
    <w:p w14:paraId="18765B34">
      <w:pPr>
        <w:keepNext w:val="0"/>
        <w:keepLines w:val="0"/>
        <w:pageBreakBefore w:val="0"/>
        <w:widowControl/>
        <w:kinsoku/>
        <w:wordWrap/>
        <w:overflowPunct/>
        <w:topLinePunct w:val="0"/>
        <w:bidi w:val="0"/>
        <w:snapToGri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（二）乙方的</w:t>
      </w:r>
      <w:r>
        <w:rPr>
          <w:rFonts w:hint="eastAsia" w:ascii="仿宋" w:hAnsi="仿宋" w:eastAsia="仿宋" w:cs="仿宋"/>
          <w:sz w:val="20"/>
          <w:szCs w:val="20"/>
          <w:highlight w:val="none"/>
          <w:lang w:eastAsia="zh-CN"/>
        </w:rPr>
        <w:t>响应</w:t>
      </w:r>
      <w:r>
        <w:rPr>
          <w:rFonts w:hint="eastAsia" w:ascii="仿宋" w:hAnsi="仿宋" w:eastAsia="仿宋" w:cs="仿宋"/>
          <w:sz w:val="20"/>
          <w:szCs w:val="20"/>
          <w:highlight w:val="none"/>
        </w:rPr>
        <w:t>文件和承诺等内容将列入合同。</w:t>
      </w:r>
    </w:p>
    <w:p w14:paraId="4456ED7C">
      <w:pPr>
        <w:keepNext w:val="0"/>
        <w:keepLines w:val="0"/>
        <w:pageBreakBefore w:val="0"/>
        <w:widowControl/>
        <w:kinsoku/>
        <w:wordWrap/>
        <w:overflowPunct/>
        <w:topLinePunct w:val="0"/>
        <w:bidi w:val="0"/>
        <w:snapToGrid w:val="0"/>
        <w:spacing w:after="0" w:line="240" w:lineRule="auto"/>
        <w:ind w:firstLine="402" w:firstLineChars="200"/>
        <w:textAlignment w:val="auto"/>
        <w:outlineLvl w:val="1"/>
        <w:rPr>
          <w:rFonts w:hint="eastAsia" w:ascii="仿宋" w:hAnsi="仿宋" w:eastAsia="仿宋" w:cs="仿宋"/>
          <w:b/>
          <w:sz w:val="20"/>
          <w:szCs w:val="20"/>
          <w:highlight w:val="none"/>
        </w:rPr>
      </w:pPr>
      <w:bookmarkStart w:id="6" w:name="_Toc22962"/>
      <w:r>
        <w:rPr>
          <w:rFonts w:hint="eastAsia" w:ascii="仿宋" w:hAnsi="仿宋" w:eastAsia="仿宋" w:cs="仿宋"/>
          <w:b/>
          <w:sz w:val="20"/>
          <w:szCs w:val="20"/>
          <w:highlight w:val="none"/>
        </w:rPr>
        <w:t>十</w:t>
      </w:r>
      <w:r>
        <w:rPr>
          <w:rFonts w:hint="eastAsia" w:ascii="仿宋" w:hAnsi="仿宋" w:eastAsia="仿宋" w:cs="仿宋"/>
          <w:b/>
          <w:sz w:val="20"/>
          <w:szCs w:val="20"/>
          <w:highlight w:val="none"/>
          <w:lang w:val="en-US" w:eastAsia="zh-CN"/>
        </w:rPr>
        <w:t>一</w:t>
      </w:r>
      <w:r>
        <w:rPr>
          <w:rFonts w:hint="eastAsia" w:ascii="仿宋" w:hAnsi="仿宋" w:eastAsia="仿宋" w:cs="仿宋"/>
          <w:b/>
          <w:sz w:val="20"/>
          <w:szCs w:val="20"/>
          <w:highlight w:val="none"/>
        </w:rPr>
        <w:t>、验收</w:t>
      </w:r>
      <w:bookmarkEnd w:id="6"/>
    </w:p>
    <w:p w14:paraId="59610859">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（一）</w:t>
      </w:r>
      <w:r>
        <w:rPr>
          <w:rFonts w:hint="eastAsia" w:ascii="仿宋" w:hAnsi="仿宋" w:eastAsia="仿宋" w:cs="仿宋"/>
          <w:bCs/>
          <w:sz w:val="20"/>
          <w:szCs w:val="20"/>
          <w:highlight w:val="none"/>
        </w:rPr>
        <w:t>验收时间：项目完成后</w:t>
      </w:r>
    </w:p>
    <w:p w14:paraId="4D456469">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bCs/>
          <w:sz w:val="20"/>
          <w:szCs w:val="20"/>
          <w:highlight w:val="none"/>
        </w:rPr>
        <w:t>质量标准：符合国家有关现行规范、标准的要求。</w:t>
      </w:r>
    </w:p>
    <w:p w14:paraId="3963894D">
      <w:pPr>
        <w:keepNext w:val="0"/>
        <w:keepLines w:val="0"/>
        <w:pageBreakBefore w:val="0"/>
        <w:widowControl/>
        <w:kinsoku/>
        <w:wordWrap/>
        <w:overflowPunct/>
        <w:topLinePunct w:val="0"/>
        <w:autoSpaceDE w:val="0"/>
        <w:autoSpaceDN w:val="0"/>
        <w:bidi w:val="0"/>
        <w:adjustRightInd w:val="0"/>
        <w:snapToGri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三</w:t>
      </w:r>
      <w:r>
        <w:rPr>
          <w:rFonts w:hint="eastAsia" w:ascii="仿宋" w:hAnsi="仿宋" w:eastAsia="仿宋" w:cs="仿宋"/>
          <w:sz w:val="20"/>
          <w:szCs w:val="20"/>
          <w:highlight w:val="none"/>
        </w:rPr>
        <w:t>）</w:t>
      </w:r>
      <w:r>
        <w:rPr>
          <w:rFonts w:hint="eastAsia" w:ascii="仿宋" w:hAnsi="仿宋" w:eastAsia="仿宋" w:cs="仿宋"/>
          <w:bCs/>
          <w:sz w:val="20"/>
          <w:szCs w:val="20"/>
          <w:highlight w:val="none"/>
        </w:rPr>
        <w:t>验收合格条件：符合国家标准和技术规格书及合同要求，符合竞争性磋商文件、澄清文件、成交供应商的磋商响应文件、成交通知书的要求及签订的合同等,乙方应严格按照上述及采购人要求实施项目服务，甲方有权对乙方服务质量进行评估，当乙方出现较为严重的服务质量问题时，从乙方服务费中扣除合同总价的10%。</w:t>
      </w:r>
    </w:p>
    <w:p w14:paraId="003EA22D">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outlineLvl w:val="1"/>
        <w:rPr>
          <w:rFonts w:hint="eastAsia" w:ascii="仿宋" w:hAnsi="仿宋" w:eastAsia="仿宋" w:cs="仿宋"/>
          <w:b/>
          <w:sz w:val="20"/>
          <w:szCs w:val="20"/>
          <w:highlight w:val="none"/>
        </w:rPr>
      </w:pPr>
      <w:bookmarkStart w:id="7" w:name="_Toc1622"/>
      <w:r>
        <w:rPr>
          <w:rFonts w:hint="eastAsia" w:ascii="仿宋" w:hAnsi="仿宋" w:eastAsia="仿宋" w:cs="仿宋"/>
          <w:b/>
          <w:sz w:val="20"/>
          <w:szCs w:val="20"/>
          <w:highlight w:val="none"/>
        </w:rPr>
        <w:t>十</w:t>
      </w:r>
      <w:r>
        <w:rPr>
          <w:rFonts w:hint="eastAsia" w:ascii="仿宋" w:hAnsi="仿宋" w:eastAsia="仿宋" w:cs="仿宋"/>
          <w:b/>
          <w:sz w:val="20"/>
          <w:szCs w:val="20"/>
          <w:highlight w:val="none"/>
          <w:lang w:val="en-US" w:eastAsia="zh-CN"/>
        </w:rPr>
        <w:t>二</w:t>
      </w:r>
      <w:r>
        <w:rPr>
          <w:rFonts w:hint="eastAsia" w:ascii="仿宋" w:hAnsi="仿宋" w:eastAsia="仿宋" w:cs="仿宋"/>
          <w:b/>
          <w:sz w:val="20"/>
          <w:szCs w:val="20"/>
          <w:highlight w:val="none"/>
        </w:rPr>
        <w:t>、违约责任</w:t>
      </w:r>
      <w:bookmarkEnd w:id="7"/>
    </w:p>
    <w:p w14:paraId="5FCB3D70">
      <w:pPr>
        <w:keepNext w:val="0"/>
        <w:keepLines w:val="0"/>
        <w:pageBreakBefore w:val="0"/>
        <w:widowControl/>
        <w:kinsoku/>
        <w:wordWrap/>
        <w:overflowPunct/>
        <w:topLinePunct w:val="0"/>
        <w:autoSpaceDE w:val="0"/>
        <w:autoSpaceDN w:val="0"/>
        <w:bidi w:val="0"/>
        <w:adjustRightInd w:val="0"/>
        <w:snapToGrid/>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（一）</w:t>
      </w:r>
      <w:r>
        <w:rPr>
          <w:rFonts w:hint="eastAsia" w:ascii="仿宋" w:hAnsi="仿宋" w:eastAsia="仿宋" w:cs="仿宋"/>
          <w:bCs/>
          <w:strike w:val="0"/>
          <w:dstrike w:val="0"/>
          <w:sz w:val="20"/>
          <w:szCs w:val="20"/>
          <w:highlight w:val="none"/>
        </w:rPr>
        <w:t>若</w:t>
      </w:r>
      <w:r>
        <w:rPr>
          <w:rFonts w:hint="eastAsia" w:ascii="仿宋" w:hAnsi="仿宋" w:eastAsia="仿宋" w:cs="仿宋"/>
          <w:bCs/>
          <w:strike w:val="0"/>
          <w:dstrike w:val="0"/>
          <w:sz w:val="20"/>
          <w:szCs w:val="20"/>
          <w:highlight w:val="none"/>
          <w:lang w:val="en-US" w:eastAsia="zh-CN"/>
        </w:rPr>
        <w:t>乙方</w:t>
      </w:r>
      <w:r>
        <w:rPr>
          <w:rFonts w:hint="eastAsia" w:ascii="仿宋" w:hAnsi="仿宋" w:eastAsia="仿宋" w:cs="仿宋"/>
          <w:bCs/>
          <w:strike w:val="0"/>
          <w:dstrike w:val="0"/>
          <w:sz w:val="20"/>
          <w:szCs w:val="20"/>
          <w:highlight w:val="none"/>
        </w:rPr>
        <w:t>未</w:t>
      </w:r>
      <w:r>
        <w:rPr>
          <w:rFonts w:hint="eastAsia" w:ascii="仿宋" w:hAnsi="仿宋" w:eastAsia="仿宋" w:cs="仿宋"/>
          <w:bCs/>
          <w:strike w:val="0"/>
          <w:dstrike w:val="0"/>
          <w:sz w:val="20"/>
          <w:szCs w:val="20"/>
          <w:highlight w:val="none"/>
          <w:lang w:val="en-US" w:eastAsia="zh-CN"/>
        </w:rPr>
        <w:t>按</w:t>
      </w:r>
      <w:r>
        <w:rPr>
          <w:rFonts w:hint="eastAsia" w:ascii="仿宋" w:hAnsi="仿宋" w:eastAsia="仿宋" w:cs="仿宋"/>
          <w:bCs/>
          <w:strike w:val="0"/>
          <w:dstrike w:val="0"/>
          <w:sz w:val="20"/>
          <w:szCs w:val="20"/>
          <w:highlight w:val="none"/>
        </w:rPr>
        <w:t>合同约定的服务标准、时间、范围提供服务，</w:t>
      </w:r>
      <w:r>
        <w:rPr>
          <w:rFonts w:hint="eastAsia" w:ascii="仿宋" w:hAnsi="仿宋" w:eastAsia="仿宋" w:cs="仿宋"/>
          <w:bCs/>
          <w:strike w:val="0"/>
          <w:dstrike w:val="0"/>
          <w:sz w:val="20"/>
          <w:szCs w:val="20"/>
          <w:highlight w:val="none"/>
          <w:lang w:val="en-US" w:eastAsia="zh-CN"/>
        </w:rPr>
        <w:t>甲方</w:t>
      </w:r>
      <w:r>
        <w:rPr>
          <w:rFonts w:hint="eastAsia" w:ascii="仿宋" w:hAnsi="仿宋" w:eastAsia="仿宋" w:cs="仿宋"/>
          <w:bCs/>
          <w:strike w:val="0"/>
          <w:dstrike w:val="0"/>
          <w:sz w:val="20"/>
          <w:szCs w:val="20"/>
          <w:highlight w:val="none"/>
        </w:rPr>
        <w:t>可要求其限期整改、整改后仍不格的</w:t>
      </w:r>
      <w:r>
        <w:rPr>
          <w:rFonts w:hint="eastAsia" w:ascii="仿宋" w:hAnsi="仿宋" w:eastAsia="仿宋" w:cs="仿宋"/>
          <w:bCs/>
          <w:strike w:val="0"/>
          <w:dstrike w:val="0"/>
          <w:sz w:val="20"/>
          <w:szCs w:val="20"/>
          <w:highlight w:val="none"/>
          <w:lang w:eastAsia="zh-CN"/>
        </w:rPr>
        <w:t>，</w:t>
      </w:r>
      <w:r>
        <w:rPr>
          <w:rFonts w:hint="eastAsia" w:ascii="仿宋" w:hAnsi="仿宋" w:eastAsia="仿宋" w:cs="仿宋"/>
          <w:bCs/>
          <w:strike w:val="0"/>
          <w:dstrike w:val="0"/>
          <w:sz w:val="20"/>
          <w:szCs w:val="20"/>
          <w:highlight w:val="none"/>
        </w:rPr>
        <w:t>甲方有权要求以合同金额</w:t>
      </w:r>
      <w:r>
        <w:rPr>
          <w:rFonts w:hint="eastAsia" w:ascii="仿宋" w:hAnsi="仿宋" w:eastAsia="仿宋" w:cs="仿宋"/>
          <w:bCs/>
          <w:strike w:val="0"/>
          <w:dstrike w:val="0"/>
          <w:sz w:val="20"/>
          <w:szCs w:val="20"/>
          <w:highlight w:val="none"/>
          <w:lang w:val="en-US" w:eastAsia="zh-CN"/>
        </w:rPr>
        <w:t>的</w:t>
      </w:r>
      <w:r>
        <w:rPr>
          <w:rFonts w:hint="eastAsia" w:ascii="仿宋" w:hAnsi="仿宋" w:eastAsia="仿宋" w:cs="仿宋"/>
          <w:bCs/>
          <w:strike w:val="0"/>
          <w:dstrike w:val="0"/>
          <w:sz w:val="20"/>
          <w:szCs w:val="20"/>
          <w:highlight w:val="none"/>
        </w:rPr>
        <w:t>百分之一按日计违约金。</w:t>
      </w:r>
    </w:p>
    <w:p w14:paraId="4CE627F7">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bCs/>
          <w:sz w:val="20"/>
          <w:szCs w:val="20"/>
          <w:highlight w:val="none"/>
        </w:rPr>
        <w:t>任何一方违反合同所规定条款，均构成违约，违约方必须承担由此给对方造成的经济损失。</w:t>
      </w:r>
    </w:p>
    <w:p w14:paraId="2766E7F3">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三</w:t>
      </w:r>
      <w:r>
        <w:rPr>
          <w:rFonts w:hint="eastAsia" w:ascii="仿宋" w:hAnsi="仿宋" w:eastAsia="仿宋" w:cs="仿宋"/>
          <w:sz w:val="20"/>
          <w:szCs w:val="20"/>
          <w:highlight w:val="none"/>
        </w:rPr>
        <w:t>）</w:t>
      </w:r>
      <w:r>
        <w:rPr>
          <w:rFonts w:hint="eastAsia" w:ascii="仿宋" w:hAnsi="仿宋" w:eastAsia="仿宋" w:cs="仿宋"/>
          <w:bCs/>
          <w:sz w:val="20"/>
          <w:szCs w:val="20"/>
          <w:highlight w:val="none"/>
        </w:rPr>
        <w:t>乙方在履行本合同中给甲方、自身及第三者造成的任何损害，乙方应承担全部赔偿责任。</w:t>
      </w:r>
    </w:p>
    <w:p w14:paraId="6424BE0B">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四</w:t>
      </w:r>
      <w:r>
        <w:rPr>
          <w:rFonts w:hint="eastAsia" w:ascii="仿宋" w:hAnsi="仿宋" w:eastAsia="仿宋" w:cs="仿宋"/>
          <w:sz w:val="20"/>
          <w:szCs w:val="20"/>
          <w:highlight w:val="none"/>
        </w:rPr>
        <w:t>）</w:t>
      </w:r>
      <w:r>
        <w:rPr>
          <w:rFonts w:hint="eastAsia" w:ascii="仿宋" w:hAnsi="仿宋" w:eastAsia="仿宋" w:cs="仿宋"/>
          <w:bCs/>
          <w:sz w:val="20"/>
          <w:szCs w:val="20"/>
          <w:highlight w:val="none"/>
        </w:rPr>
        <w:t>依据《中华人民共和国民法典》、《中华人民共和国政府采购法》的相关条款和本合同约定，乙方未全面履行合同义务或者发生违约，甲方有权终止合同，依法向乙方要求经济索赔，并报请政府采购监督管理机关进行相应的行政处罚。甲方违约的，应当赔偿给乙方造成的经济损失。</w:t>
      </w:r>
    </w:p>
    <w:p w14:paraId="0DAC1FD4">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五</w:t>
      </w:r>
      <w:r>
        <w:rPr>
          <w:rFonts w:hint="eastAsia" w:ascii="仿宋" w:hAnsi="仿宋" w:eastAsia="仿宋" w:cs="仿宋"/>
          <w:sz w:val="20"/>
          <w:szCs w:val="20"/>
          <w:highlight w:val="none"/>
        </w:rPr>
        <w:t>）</w:t>
      </w:r>
      <w:r>
        <w:rPr>
          <w:rFonts w:hint="eastAsia" w:ascii="仿宋" w:hAnsi="仿宋" w:eastAsia="仿宋" w:cs="仿宋"/>
          <w:bCs/>
          <w:sz w:val="20"/>
          <w:szCs w:val="20"/>
          <w:highlight w:val="none"/>
        </w:rPr>
        <w:t>未按合同要求提供服务或服务质量不能满足本次项目要求，甲方有权终止合同和对乙方违约行为进行追究，同时按有关规定进行相应的处罚。</w:t>
      </w:r>
    </w:p>
    <w:p w14:paraId="03D954C1">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rPr>
          <w:rFonts w:hint="eastAsia" w:ascii="仿宋" w:hAnsi="仿宋" w:eastAsia="仿宋" w:cs="仿宋"/>
          <w:b/>
          <w:bCs/>
          <w:sz w:val="20"/>
          <w:szCs w:val="20"/>
          <w:highlight w:val="none"/>
          <w:lang w:eastAsia="zh-CN"/>
        </w:rPr>
      </w:pPr>
      <w:r>
        <w:rPr>
          <w:rFonts w:hint="eastAsia" w:ascii="仿宋" w:hAnsi="仿宋" w:eastAsia="仿宋" w:cs="仿宋"/>
          <w:b/>
          <w:bCs/>
          <w:sz w:val="20"/>
          <w:szCs w:val="20"/>
          <w:highlight w:val="none"/>
          <w:lang w:eastAsia="zh-CN"/>
        </w:rPr>
        <w:t>十</w:t>
      </w:r>
      <w:r>
        <w:rPr>
          <w:rFonts w:hint="eastAsia" w:ascii="仿宋" w:hAnsi="仿宋" w:eastAsia="仿宋" w:cs="仿宋"/>
          <w:b/>
          <w:bCs/>
          <w:sz w:val="20"/>
          <w:szCs w:val="20"/>
          <w:highlight w:val="none"/>
          <w:lang w:val="en-US" w:eastAsia="zh-CN"/>
        </w:rPr>
        <w:t>三</w:t>
      </w:r>
      <w:r>
        <w:rPr>
          <w:rFonts w:hint="eastAsia" w:ascii="仿宋" w:hAnsi="仿宋" w:eastAsia="仿宋" w:cs="仿宋"/>
          <w:b/>
          <w:bCs/>
          <w:sz w:val="20"/>
          <w:szCs w:val="20"/>
          <w:highlight w:val="none"/>
          <w:lang w:eastAsia="zh-CN"/>
        </w:rPr>
        <w:t>、监督和管理</w:t>
      </w:r>
    </w:p>
    <w:p w14:paraId="360C9235">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（一）</w:t>
      </w:r>
      <w:r>
        <w:rPr>
          <w:rFonts w:hint="eastAsia" w:ascii="仿宋" w:hAnsi="仿宋" w:eastAsia="仿宋" w:cs="仿宋"/>
          <w:sz w:val="20"/>
          <w:szCs w:val="20"/>
          <w:highlight w:val="none"/>
          <w:lang w:eastAsia="zh-CN"/>
        </w:rPr>
        <w:t>政府采购合同履行中，甲方需追加与合同标的相同的工程或者服务的，在不改变合同其他条款的前提下，可以与乙方协商签订补充合同，但所有补充合同的采购金额不得超过原合同采购金额的百分之十。</w:t>
      </w:r>
    </w:p>
    <w:p w14:paraId="6F918A5A">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（二）</w:t>
      </w:r>
      <w:r>
        <w:rPr>
          <w:rFonts w:hint="eastAsia" w:ascii="仿宋" w:hAnsi="仿宋" w:eastAsia="仿宋" w:cs="仿宋"/>
          <w:sz w:val="20"/>
          <w:szCs w:val="20"/>
          <w:highlight w:val="none"/>
          <w:lang w:eastAsia="zh-CN"/>
        </w:rPr>
        <w:t>甲乙双方均应自觉配合有关监督管理部门对合同履行情况的监督检查，如实反映情况，提供有关资料；否则，将对有关单位、当事人按照有关规定予以处罚。</w:t>
      </w:r>
    </w:p>
    <w:p w14:paraId="74554E0B">
      <w:pPr>
        <w:keepNext w:val="0"/>
        <w:keepLines w:val="0"/>
        <w:pageBreakBefore w:val="0"/>
        <w:widowControl/>
        <w:kinsoku/>
        <w:wordWrap/>
        <w:overflowPunct/>
        <w:topLinePunct w:val="0"/>
        <w:autoSpaceDE w:val="0"/>
        <w:autoSpaceDN w:val="0"/>
        <w:bidi w:val="0"/>
        <w:adjustRightInd w:val="0"/>
        <w:spacing w:after="0" w:line="240" w:lineRule="auto"/>
        <w:ind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val="en-US" w:eastAsia="zh-CN"/>
        </w:rPr>
        <w:t xml:space="preserve">十四、合同争议解决的方式 </w:t>
      </w:r>
    </w:p>
    <w:p w14:paraId="43C83EEC">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（一）</w:t>
      </w:r>
      <w:r>
        <w:rPr>
          <w:rFonts w:hint="eastAsia" w:ascii="仿宋" w:hAnsi="仿宋" w:eastAsia="仿宋" w:cs="仿宋"/>
          <w:sz w:val="20"/>
          <w:szCs w:val="20"/>
          <w:highlight w:val="none"/>
          <w:lang w:val="en-US" w:eastAsia="zh-CN"/>
        </w:rPr>
        <w:t xml:space="preserve">本合同须经甲、乙双方的法定代表人（授权代表）在合同书上签字并加盖本单位公章后正式生效。 </w:t>
      </w:r>
    </w:p>
    <w:p w14:paraId="6E568E68">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（二）</w:t>
      </w:r>
      <w:r>
        <w:rPr>
          <w:rFonts w:hint="eastAsia" w:ascii="仿宋" w:hAnsi="仿宋" w:eastAsia="仿宋" w:cs="仿宋"/>
          <w:sz w:val="20"/>
          <w:szCs w:val="20"/>
          <w:highlight w:val="none"/>
          <w:lang w:val="en-US" w:eastAsia="zh-CN"/>
        </w:rPr>
        <w:t xml:space="preserve">合同生效后，甲、乙双方须严格执行本合同条款的规定，全面履行合同，违者按《中华人民共和国民法典》的有关规定承担相应责任。 </w:t>
      </w:r>
    </w:p>
    <w:p w14:paraId="5AA8406B">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三</w:t>
      </w:r>
      <w:r>
        <w:rPr>
          <w:rFonts w:hint="eastAsia" w:ascii="仿宋" w:hAnsi="仿宋" w:eastAsia="仿宋" w:cs="仿宋"/>
          <w:sz w:val="20"/>
          <w:szCs w:val="20"/>
          <w:highlight w:val="none"/>
        </w:rPr>
        <w:t>）因本合同产生纠纷，如协商无法解决，双方均有权向</w:t>
      </w:r>
      <w:r>
        <w:rPr>
          <w:rFonts w:hint="eastAsia" w:ascii="仿宋" w:hAnsi="仿宋" w:eastAsia="仿宋" w:cs="仿宋"/>
          <w:sz w:val="20"/>
          <w:szCs w:val="20"/>
          <w:highlight w:val="none"/>
          <w:lang w:val="en-US" w:eastAsia="zh-CN"/>
        </w:rPr>
        <w:t>甲方</w:t>
      </w:r>
      <w:r>
        <w:rPr>
          <w:rFonts w:hint="eastAsia" w:ascii="仿宋" w:hAnsi="仿宋" w:eastAsia="仿宋" w:cs="仿宋"/>
          <w:sz w:val="20"/>
          <w:szCs w:val="20"/>
          <w:highlight w:val="none"/>
        </w:rPr>
        <w:t>所在地人民法院提起诉讼。</w:t>
      </w:r>
    </w:p>
    <w:p w14:paraId="1639D134">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四</w:t>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本合同一式5份，甲方执3份，乙方执2份。</w:t>
      </w:r>
    </w:p>
    <w:p w14:paraId="4A431AF1">
      <w:pPr>
        <w:keepNext w:val="0"/>
        <w:keepLines w:val="0"/>
        <w:pageBreakBefore w:val="0"/>
        <w:widowControl/>
        <w:kinsoku/>
        <w:wordWrap/>
        <w:overflowPunct/>
        <w:topLinePunct w:val="0"/>
        <w:autoSpaceDE w:val="0"/>
        <w:autoSpaceDN w:val="0"/>
        <w:bidi w:val="0"/>
        <w:adjustRightInd w:val="0"/>
        <w:spacing w:after="0" w:line="24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五</w:t>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本合同如有未尽事宜，甲、乙双方协商解决。</w:t>
      </w:r>
    </w:p>
    <w:bookmarkEnd w:id="0"/>
    <w:tbl>
      <w:tblPr>
        <w:tblStyle w:val="3"/>
        <w:tblW w:w="84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1"/>
        <w:gridCol w:w="4202"/>
      </w:tblGrid>
      <w:tr w14:paraId="35BA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19C9C0C8">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甲  方（盖章）：</w:t>
            </w:r>
          </w:p>
        </w:tc>
        <w:tc>
          <w:tcPr>
            <w:tcW w:w="4202" w:type="dxa"/>
            <w:vAlign w:val="center"/>
          </w:tcPr>
          <w:p w14:paraId="01ADEF89">
            <w:pPr>
              <w:keepNext w:val="0"/>
              <w:keepLines w:val="0"/>
              <w:pageBreakBefore w:val="0"/>
              <w:kinsoku/>
              <w:wordWrap/>
              <w:overflowPunct/>
              <w:topLinePunct w:val="0"/>
              <w:autoSpaceDE w:val="0"/>
              <w:autoSpaceDN w:val="0"/>
              <w:bidi w:val="0"/>
              <w:adjustRightInd w:val="0"/>
              <w:spacing w:after="0" w:line="240" w:lineRule="auto"/>
              <w:jc w:val="left"/>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乙  方（盖章）：</w:t>
            </w:r>
          </w:p>
        </w:tc>
      </w:tr>
      <w:tr w14:paraId="3CD0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3119A404">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地址： </w:t>
            </w:r>
          </w:p>
        </w:tc>
        <w:tc>
          <w:tcPr>
            <w:tcW w:w="4202" w:type="dxa"/>
            <w:vAlign w:val="center"/>
          </w:tcPr>
          <w:p w14:paraId="4EAC31DF">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地址：</w:t>
            </w:r>
          </w:p>
        </w:tc>
      </w:tr>
      <w:tr w14:paraId="02EE4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5C7E017D">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 xml:space="preserve">法定代表人或授权代表： </w:t>
            </w:r>
          </w:p>
        </w:tc>
        <w:tc>
          <w:tcPr>
            <w:tcW w:w="4202" w:type="dxa"/>
            <w:vAlign w:val="center"/>
          </w:tcPr>
          <w:p w14:paraId="4B6C0A42">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法定代表人或授权代表：</w:t>
            </w:r>
          </w:p>
        </w:tc>
      </w:tr>
      <w:tr w14:paraId="6888F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5DC50E3D">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电话：</w:t>
            </w:r>
          </w:p>
        </w:tc>
        <w:tc>
          <w:tcPr>
            <w:tcW w:w="4202" w:type="dxa"/>
            <w:vAlign w:val="center"/>
          </w:tcPr>
          <w:p w14:paraId="39F5D119">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电话：</w:t>
            </w:r>
          </w:p>
        </w:tc>
      </w:tr>
      <w:tr w14:paraId="5B8CD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708A2FD9">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传真：</w:t>
            </w:r>
          </w:p>
        </w:tc>
        <w:tc>
          <w:tcPr>
            <w:tcW w:w="4202" w:type="dxa"/>
            <w:vAlign w:val="center"/>
          </w:tcPr>
          <w:p w14:paraId="1F711D59">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传真：</w:t>
            </w:r>
          </w:p>
        </w:tc>
      </w:tr>
      <w:tr w14:paraId="4AE4B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5AEC76F0">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开户银行：</w:t>
            </w:r>
          </w:p>
        </w:tc>
        <w:tc>
          <w:tcPr>
            <w:tcW w:w="4202" w:type="dxa"/>
            <w:vAlign w:val="center"/>
          </w:tcPr>
          <w:p w14:paraId="7B6BAB52">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开户银行：</w:t>
            </w:r>
          </w:p>
        </w:tc>
      </w:tr>
      <w:tr w14:paraId="10EF1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781EE5E9">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账号：</w:t>
            </w:r>
          </w:p>
        </w:tc>
        <w:tc>
          <w:tcPr>
            <w:tcW w:w="4202" w:type="dxa"/>
            <w:vAlign w:val="center"/>
          </w:tcPr>
          <w:p w14:paraId="1AA9B4C3">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账号：</w:t>
            </w:r>
          </w:p>
        </w:tc>
      </w:tr>
      <w:tr w14:paraId="677DE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201" w:type="dxa"/>
            <w:vAlign w:val="center"/>
          </w:tcPr>
          <w:p w14:paraId="16DD4FA9">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日期：</w:t>
            </w:r>
          </w:p>
        </w:tc>
        <w:tc>
          <w:tcPr>
            <w:tcW w:w="4202" w:type="dxa"/>
            <w:vAlign w:val="center"/>
          </w:tcPr>
          <w:p w14:paraId="3CE82DF0">
            <w:pPr>
              <w:keepNext w:val="0"/>
              <w:keepLines w:val="0"/>
              <w:pageBreakBefore w:val="0"/>
              <w:kinsoku/>
              <w:wordWrap/>
              <w:overflowPunct/>
              <w:topLinePunct w:val="0"/>
              <w:autoSpaceDE w:val="0"/>
              <w:autoSpaceDN w:val="0"/>
              <w:bidi w:val="0"/>
              <w:adjustRightInd w:val="0"/>
              <w:spacing w:after="0" w:line="240" w:lineRule="auto"/>
              <w:jc w:val="both"/>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日期：</w:t>
            </w:r>
          </w:p>
        </w:tc>
      </w:tr>
    </w:tbl>
    <w:p w14:paraId="4EF6C9E7">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E54837"/>
    <w:rsid w:val="787B67E3"/>
    <w:rsid w:val="7DE54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1476</Words>
  <Characters>1626</Characters>
  <Lines>0</Lines>
  <Paragraphs>0</Paragraphs>
  <TotalTime>0</TotalTime>
  <ScaleCrop>false</ScaleCrop>
  <LinksUpToDate>false</LinksUpToDate>
  <CharactersWithSpaces>1722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2025-11-21T01:23:00Z</dcterms:created>
  <dc:creator>W</dc:creator>
  <cp:lastModifiedBy>北回归线</cp:lastModifiedBy>
  <dcterms:modified xsi:type="dcterms:W3CDTF">2025-11-27T08:11:24Z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346EEAE0EF314944AD00A95012FFEE8C_11</vt:lpwstr>
  </property>
  <property fmtid="{D5CDD505-2E9C-101B-9397-08002B2CF9AE}" pid="4" name="KSOTemplateDocerSaveRecord">
    <vt:lpwstr>eyJoZGlkIjoiYzUyZjI0YTBhY2FiZDMxZWRhM2IzYTlkYzU3ZDVmZmUiLCJ1c2VySWQiOiI1NDk2NzYxOTcifQ==</vt:lpwstr>
  </property>
</Properties>
</file>