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版本号：CGZC-2025-21920251225001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西安浐灞国际港环卫设施采购项目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CGZC-2025-219</w:t>
      </w:r>
      <w:r>
        <w:br/>
      </w:r>
      <w:r>
        <w:br/>
      </w:r>
      <w:r>
        <w:br/>
      </w:r>
    </w:p>
    <w:p>
      <w:pPr>
        <w:pStyle w:val="null3"/>
        <w:jc w:val="center"/>
        <w:outlineLvl w:val="2"/>
      </w:pPr>
      <w:r>
        <w:rPr>
          <w:rFonts w:ascii="仿宋_GB2312" w:hAnsi="仿宋_GB2312" w:cs="仿宋_GB2312" w:eastAsia="仿宋_GB2312"/>
          <w:sz w:val="28"/>
          <w:b/>
        </w:rPr>
        <w:t>西安浐灞国际港城市管理和综合执法局</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西安浐灞国际港城市管理和综合执法局</w:t>
      </w:r>
      <w:r>
        <w:rPr>
          <w:rFonts w:ascii="仿宋_GB2312" w:hAnsi="仿宋_GB2312" w:cs="仿宋_GB2312" w:eastAsia="仿宋_GB2312"/>
        </w:rPr>
        <w:t>委托，拟对</w:t>
      </w:r>
      <w:r>
        <w:rPr>
          <w:rFonts w:ascii="仿宋_GB2312" w:hAnsi="仿宋_GB2312" w:cs="仿宋_GB2312" w:eastAsia="仿宋_GB2312"/>
        </w:rPr>
        <w:t>西安浐灞国际港环卫设施采购项目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CGZC-2025-219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西安浐灞国际港环卫设施采购项目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西安浐灞国际港环卫设施采购项目，具体内容详见竞争性磋商文件。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采购包1（西安浐灞国际港环卫设施采购项目）：属于专门面向中小企业采购。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2023年度或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3、税收缴纳证明：提供2025年1月至今已缴纳的1个月的纳税证明或完税证明，依法免税的单位应提供相关证明材料。供应商需在项目电子化交易系统中按要求上传相应证明文件并进行电子签章。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授权书及被授权人身份证：法定代表人授权委托书（须提供被授权人开标前三个月在本单位缴纳社保的证明资料）（法定代表人直接参加的，须提供法定代表人身份证明及身份证复印件且与营业执照上信息保持一致），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pPr>
        <w:pStyle w:val="null3"/>
      </w:pPr>
      <w:r>
        <w:rPr>
          <w:rFonts w:ascii="仿宋_GB2312" w:hAnsi="仿宋_GB2312" w:cs="仿宋_GB2312" w:eastAsia="仿宋_GB2312"/>
        </w:rPr>
        <w:t>9、其他要求：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10、是否接受联合体投标：本项目不接受联合体投标，供应商需在项目电子化交易系统中按要求上传相应证明文件并进行电子签章。</w:t>
      </w:r>
    </w:p>
    <w:p>
      <w:pPr>
        <w:pStyle w:val="null3"/>
      </w:pPr>
      <w:r>
        <w:rPr>
          <w:rFonts w:ascii="仿宋_GB2312" w:hAnsi="仿宋_GB2312" w:cs="仿宋_GB2312" w:eastAsia="仿宋_GB2312"/>
        </w:rPr>
        <w:t>11、中小企业：本合同包为专门面向中小企业采购（提供中小企业声明函或监狱企业的证明文件或残疾人福利性单位声明函）。供应商需在项目电子化交易系统中按要求上传相应证明文件并进行电子签章。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西安浐灞国际港城市管理和综合执法局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西安市灞桥区梦想公社1号楼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浐灞国际港城管执法局采购经办人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029-83450819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梁加豪、王哲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文件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西安浐灞国际港城市管理和综合执法局</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西安浐灞国际港城市管理和综合执法局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联系人：梁加豪、王哲</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地址：陕西省西安市未央区未央路109号万象未央1号楼506室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西安浐灞国际港环卫设施采购项目，具体内容详见竞争性磋商文件。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1,480,000.00</w:t>
      </w:r>
    </w:p>
    <w:p>
      <w:pPr>
        <w:pStyle w:val="null3"/>
      </w:pPr>
      <w:r>
        <w:rPr>
          <w:rFonts w:ascii="仿宋_GB2312" w:hAnsi="仿宋_GB2312" w:cs="仿宋_GB2312" w:eastAsia="仿宋_GB2312"/>
        </w:rPr>
        <w:t>采购包最高限价（元）: 1,480,000.00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西安浐灞国际港环卫设施采购项目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标的名称：西安浐灞国际港环卫设施采购项目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b/>
              </w:rPr>
              <w:t>一、项目概况</w:t>
            </w:r>
          </w:p>
          <w:p>
            <w:pPr>
              <w:pStyle w:val="null3"/>
              <w:ind w:firstLine="480"/>
              <w:jc w:val="both"/>
            </w:pPr>
            <w:r>
              <w:rPr>
                <w:rFonts w:ascii="仿宋_GB2312" w:hAnsi="仿宋_GB2312" w:cs="仿宋_GB2312" w:eastAsia="仿宋_GB2312"/>
                <w:sz w:val="20"/>
              </w:rPr>
              <w:t>1、项目名称：西安浐灞国际港环卫设施采购项目</w:t>
            </w:r>
          </w:p>
          <w:p>
            <w:pPr>
              <w:pStyle w:val="null3"/>
              <w:ind w:firstLine="480"/>
              <w:jc w:val="both"/>
            </w:pPr>
            <w:r>
              <w:rPr>
                <w:rFonts w:ascii="仿宋_GB2312" w:hAnsi="仿宋_GB2312" w:cs="仿宋_GB2312" w:eastAsia="仿宋_GB2312"/>
                <w:sz w:val="20"/>
              </w:rPr>
              <w:t>2、采购预算：</w:t>
            </w:r>
            <w:r>
              <w:rPr>
                <w:rFonts w:ascii="仿宋_GB2312" w:hAnsi="仿宋_GB2312" w:cs="仿宋_GB2312" w:eastAsia="仿宋_GB2312"/>
                <w:sz w:val="20"/>
              </w:rPr>
              <w:t>148.00</w:t>
            </w:r>
            <w:r>
              <w:rPr>
                <w:rFonts w:ascii="仿宋_GB2312" w:hAnsi="仿宋_GB2312" w:cs="仿宋_GB2312" w:eastAsia="仿宋_GB2312"/>
                <w:sz w:val="20"/>
              </w:rPr>
              <w:t>万元</w:t>
            </w:r>
          </w:p>
          <w:p>
            <w:pPr>
              <w:pStyle w:val="null3"/>
              <w:ind w:firstLine="480"/>
              <w:jc w:val="both"/>
            </w:pPr>
            <w:r>
              <w:rPr>
                <w:rFonts w:ascii="仿宋_GB2312" w:hAnsi="仿宋_GB2312" w:cs="仿宋_GB2312" w:eastAsia="仿宋_GB2312"/>
                <w:sz w:val="20"/>
              </w:rPr>
              <w:t>3、</w:t>
            </w:r>
            <w:r>
              <w:rPr>
                <w:rFonts w:ascii="仿宋_GB2312" w:hAnsi="仿宋_GB2312" w:cs="仿宋_GB2312" w:eastAsia="仿宋_GB2312"/>
                <w:sz w:val="20"/>
              </w:rPr>
              <w:t>质量标准</w:t>
            </w:r>
            <w:r>
              <w:rPr>
                <w:rFonts w:ascii="仿宋_GB2312" w:hAnsi="仿宋_GB2312" w:cs="仿宋_GB2312" w:eastAsia="仿宋_GB2312"/>
                <w:sz w:val="20"/>
              </w:rPr>
              <w:t>：</w:t>
            </w:r>
            <w:r>
              <w:rPr>
                <w:rFonts w:ascii="仿宋_GB2312" w:hAnsi="仿宋_GB2312" w:cs="仿宋_GB2312" w:eastAsia="仿宋_GB2312"/>
                <w:sz w:val="20"/>
              </w:rPr>
              <w:t>合格</w:t>
            </w:r>
          </w:p>
          <w:p>
            <w:pPr>
              <w:pStyle w:val="null3"/>
              <w:ind w:firstLine="480"/>
              <w:jc w:val="both"/>
            </w:pPr>
            <w:r>
              <w:rPr>
                <w:rFonts w:ascii="仿宋_GB2312" w:hAnsi="仿宋_GB2312" w:cs="仿宋_GB2312" w:eastAsia="仿宋_GB2312"/>
                <w:sz w:val="20"/>
              </w:rPr>
              <w:t>4、单价限价：果皮箱</w:t>
            </w:r>
            <w:r>
              <w:rPr>
                <w:rFonts w:ascii="仿宋_GB2312" w:hAnsi="仿宋_GB2312" w:cs="仿宋_GB2312" w:eastAsia="仿宋_GB2312"/>
                <w:sz w:val="20"/>
              </w:rPr>
              <w:t>950</w:t>
            </w:r>
            <w:r>
              <w:rPr>
                <w:rFonts w:ascii="仿宋_GB2312" w:hAnsi="仿宋_GB2312" w:cs="仿宋_GB2312" w:eastAsia="仿宋_GB2312"/>
                <w:sz w:val="20"/>
              </w:rPr>
              <w:t>元</w:t>
            </w:r>
            <w:r>
              <w:rPr>
                <w:rFonts w:ascii="仿宋_GB2312" w:hAnsi="仿宋_GB2312" w:cs="仿宋_GB2312" w:eastAsia="仿宋_GB2312"/>
                <w:sz w:val="20"/>
              </w:rPr>
              <w:t>/个；工具箱</w:t>
            </w:r>
            <w:r>
              <w:rPr>
                <w:rFonts w:ascii="仿宋_GB2312" w:hAnsi="仿宋_GB2312" w:cs="仿宋_GB2312" w:eastAsia="仿宋_GB2312"/>
                <w:sz w:val="20"/>
              </w:rPr>
              <w:t>1500</w:t>
            </w:r>
            <w:r>
              <w:rPr>
                <w:rFonts w:ascii="仿宋_GB2312" w:hAnsi="仿宋_GB2312" w:cs="仿宋_GB2312" w:eastAsia="仿宋_GB2312"/>
                <w:sz w:val="20"/>
              </w:rPr>
              <w:t>元</w:t>
            </w:r>
            <w:r>
              <w:rPr>
                <w:rFonts w:ascii="仿宋_GB2312" w:hAnsi="仿宋_GB2312" w:cs="仿宋_GB2312" w:eastAsia="仿宋_GB2312"/>
                <w:sz w:val="20"/>
              </w:rPr>
              <w:t>/个</w:t>
            </w:r>
          </w:p>
          <w:p>
            <w:pPr>
              <w:pStyle w:val="null3"/>
              <w:jc w:val="both"/>
            </w:pPr>
            <w:r>
              <w:rPr>
                <w:rFonts w:ascii="仿宋_GB2312" w:hAnsi="仿宋_GB2312" w:cs="仿宋_GB2312" w:eastAsia="仿宋_GB2312"/>
                <w:sz w:val="20"/>
                <w:b/>
              </w:rPr>
              <w:t>二、采购清单</w:t>
            </w:r>
          </w:p>
          <w:tbl>
            <w:tblPr>
              <w:tblBorders>
                <w:top w:val="none" w:color="000000" w:sz="4"/>
                <w:left w:val="none" w:color="000000" w:sz="4"/>
                <w:bottom w:val="none" w:color="000000" w:sz="4"/>
                <w:right w:val="none" w:color="000000" w:sz="4"/>
                <w:insideH w:val="none"/>
                <w:insideV w:val="none"/>
              </w:tblBorders>
            </w:tblPr>
            <w:tblGrid>
              <w:gridCol w:w="340"/>
              <w:gridCol w:w="973"/>
              <w:gridCol w:w="760"/>
              <w:gridCol w:w="480"/>
            </w:tblGrid>
            <w:tr>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数量（个）</w:t>
                  </w:r>
                </w:p>
              </w:tc>
              <w:tc>
                <w:tcPr>
                  <w:tcW w:type="dxa" w:w="4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果皮箱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763</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工具箱</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bl>
          <w:p>
            <w:pPr>
              <w:pStyle w:val="null3"/>
              <w:jc w:val="both"/>
            </w:pPr>
            <w:r>
              <w:rPr>
                <w:rFonts w:ascii="仿宋_GB2312" w:hAnsi="仿宋_GB2312" w:cs="仿宋_GB2312" w:eastAsia="仿宋_GB2312"/>
                <w:sz w:val="20"/>
                <w:b/>
              </w:rPr>
              <w:t>三、技术要求</w:t>
            </w:r>
          </w:p>
          <w:p>
            <w:pPr>
              <w:pStyle w:val="null3"/>
              <w:ind w:firstLine="400"/>
              <w:jc w:val="both"/>
            </w:pPr>
            <w:r>
              <w:rPr>
                <w:rFonts w:ascii="仿宋_GB2312" w:hAnsi="仿宋_GB2312" w:cs="仿宋_GB2312" w:eastAsia="仿宋_GB2312"/>
                <w:sz w:val="20"/>
              </w:rPr>
              <w:t>（一）果皮箱采购技术要求（详见附表）：</w:t>
            </w:r>
          </w:p>
          <w:p>
            <w:pPr>
              <w:pStyle w:val="null3"/>
              <w:ind w:firstLine="400"/>
              <w:jc w:val="both"/>
            </w:pPr>
            <w:r>
              <w:rPr>
                <w:rFonts w:ascii="仿宋_GB2312" w:hAnsi="仿宋_GB2312" w:cs="仿宋_GB2312" w:eastAsia="仿宋_GB2312"/>
                <w:sz w:val="20"/>
              </w:rPr>
              <w:t>1.材质要求：果皮箱应采用环保、耐用、耐腐蚀的材料制成，确保长期使用不生锈、不变形。</w:t>
            </w:r>
          </w:p>
          <w:p>
            <w:pPr>
              <w:pStyle w:val="null3"/>
              <w:ind w:firstLine="400"/>
              <w:jc w:val="both"/>
            </w:pPr>
            <w:r>
              <w:rPr>
                <w:rFonts w:ascii="仿宋_GB2312" w:hAnsi="仿宋_GB2312" w:cs="仿宋_GB2312" w:eastAsia="仿宋_GB2312"/>
                <w:sz w:val="20"/>
              </w:rPr>
              <w:t>2.容量与尺寸：应满足日常垃圾收集需求，同时考虑空间利用率，布局合理，便于移动和摆放。</w:t>
            </w:r>
          </w:p>
          <w:p>
            <w:pPr>
              <w:pStyle w:val="null3"/>
              <w:ind w:firstLine="400"/>
              <w:jc w:val="both"/>
            </w:pPr>
            <w:r>
              <w:rPr>
                <w:rFonts w:ascii="仿宋_GB2312" w:hAnsi="仿宋_GB2312" w:cs="仿宋_GB2312" w:eastAsia="仿宋_GB2312"/>
                <w:sz w:val="20"/>
              </w:rPr>
              <w:t>3.分类标识：果皮箱应具备清晰的垃圾分类标识，以促进公众正确分类投放。</w:t>
            </w:r>
          </w:p>
          <w:p>
            <w:pPr>
              <w:pStyle w:val="null3"/>
              <w:ind w:firstLine="400"/>
              <w:jc w:val="both"/>
            </w:pPr>
            <w:r>
              <w:rPr>
                <w:rFonts w:ascii="仿宋_GB2312" w:hAnsi="仿宋_GB2312" w:cs="仿宋_GB2312" w:eastAsia="仿宋_GB2312"/>
                <w:sz w:val="20"/>
              </w:rPr>
              <w:t>4.外观设计：外观美观大方，与周边环境相协调，颜色、图案及LOGO等按采购人需求定制。</w:t>
            </w:r>
          </w:p>
          <w:p>
            <w:pPr>
              <w:pStyle w:val="null3"/>
              <w:ind w:firstLine="400"/>
              <w:jc w:val="both"/>
            </w:pPr>
            <w:r>
              <w:rPr>
                <w:rFonts w:ascii="仿宋_GB2312" w:hAnsi="仿宋_GB2312" w:cs="仿宋_GB2312" w:eastAsia="仿宋_GB2312"/>
                <w:sz w:val="20"/>
              </w:rPr>
              <w:t>5.售后服务：供应商需提供自安装验收合格之日起两年的质保服务，包括免费维修、更换配件等，并确保接到通知后4个小时之内响应需求，48小时之内解决问题。</w:t>
            </w:r>
          </w:p>
          <w:p>
            <w:pPr>
              <w:pStyle w:val="null3"/>
              <w:ind w:firstLine="400"/>
              <w:jc w:val="both"/>
            </w:pPr>
            <w:r>
              <w:rPr>
                <w:rFonts w:ascii="仿宋_GB2312" w:hAnsi="仿宋_GB2312" w:cs="仿宋_GB2312" w:eastAsia="仿宋_GB2312"/>
                <w:sz w:val="20"/>
              </w:rPr>
              <w:t>（二）保洁工具箱采购技术要求（详见附表）：</w:t>
            </w:r>
          </w:p>
          <w:p>
            <w:pPr>
              <w:pStyle w:val="null3"/>
              <w:ind w:firstLine="400"/>
              <w:jc w:val="both"/>
            </w:pPr>
            <w:r>
              <w:rPr>
                <w:rFonts w:ascii="仿宋_GB2312" w:hAnsi="仿宋_GB2312" w:cs="仿宋_GB2312" w:eastAsia="仿宋_GB2312"/>
                <w:sz w:val="20"/>
              </w:rPr>
              <w:t>1.材质耐用：工具箱及内部工具采用坚固耐用、易清洗的材料制成。</w:t>
            </w:r>
          </w:p>
          <w:p>
            <w:pPr>
              <w:pStyle w:val="null3"/>
              <w:ind w:firstLine="400"/>
              <w:jc w:val="both"/>
            </w:pPr>
            <w:r>
              <w:rPr>
                <w:rFonts w:ascii="仿宋_GB2312" w:hAnsi="仿宋_GB2312" w:cs="仿宋_GB2312" w:eastAsia="仿宋_GB2312"/>
                <w:sz w:val="20"/>
              </w:rPr>
              <w:t>2.分类存储：工具箱内部有明确的分区或隔层，以便分类存放不同种类和大小的清洁工具。</w:t>
            </w:r>
          </w:p>
          <w:p>
            <w:pPr>
              <w:pStyle w:val="null3"/>
              <w:ind w:firstLine="400"/>
              <w:jc w:val="both"/>
            </w:pPr>
            <w:r>
              <w:rPr>
                <w:rFonts w:ascii="仿宋_GB2312" w:hAnsi="仿宋_GB2312" w:cs="仿宋_GB2312" w:eastAsia="仿宋_GB2312"/>
                <w:sz w:val="20"/>
              </w:rPr>
              <w:t>3.外观设计：外观美观大方，与周边环境相协调，颜色、图案及LOGO等按采购人需求定制。</w:t>
            </w:r>
          </w:p>
          <w:p>
            <w:pPr>
              <w:pStyle w:val="null3"/>
              <w:ind w:firstLine="400"/>
              <w:jc w:val="both"/>
            </w:pPr>
            <w:r>
              <w:rPr>
                <w:rFonts w:ascii="仿宋_GB2312" w:hAnsi="仿宋_GB2312" w:cs="仿宋_GB2312" w:eastAsia="仿宋_GB2312"/>
                <w:sz w:val="20"/>
              </w:rPr>
              <w:t>4.安全性能：确保工具箱无锐利边角，避免在使用过程中对保洁人员造成伤害。</w:t>
            </w:r>
          </w:p>
          <w:p>
            <w:pPr>
              <w:pStyle w:val="null3"/>
              <w:ind w:firstLine="400"/>
              <w:jc w:val="both"/>
            </w:pPr>
            <w:r>
              <w:rPr>
                <w:rFonts w:ascii="仿宋_GB2312" w:hAnsi="仿宋_GB2312" w:cs="仿宋_GB2312" w:eastAsia="仿宋_GB2312"/>
                <w:sz w:val="20"/>
              </w:rPr>
              <w:t>5.售后服务：供应商需提供自安装验收合格之日起两年的质保服务，包括免费维修、更换配件等，并确保接到通知后4个小时之内响应需求，48小时之内解决问题。</w:t>
            </w:r>
          </w:p>
          <w:p>
            <w:pPr>
              <w:pStyle w:val="null3"/>
              <w:jc w:val="center"/>
            </w:pPr>
            <w:r>
              <w:rPr>
                <w:rFonts w:ascii="仿宋_GB2312" w:hAnsi="仿宋_GB2312" w:cs="仿宋_GB2312" w:eastAsia="仿宋_GB2312"/>
                <w:sz w:val="20"/>
                <w:b/>
              </w:rPr>
              <w:t>果皮箱、保洁工具箱采购技术要求（附表）</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b/>
                      <w:color w:val="000000"/>
                    </w:rPr>
                    <w:t>名称</w:t>
                  </w:r>
                </w:p>
              </w:tc>
              <w:tc>
                <w:tcPr>
                  <w:tcW w:type="dxa" w:w="85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b/>
                      <w:color w:val="000000"/>
                    </w:rPr>
                    <w:t>尺寸</w:t>
                  </w:r>
                </w:p>
              </w:tc>
              <w:tc>
                <w:tcPr>
                  <w:tcW w:type="dxa" w:w="85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b/>
                      <w:color w:val="000000"/>
                    </w:rPr>
                    <w:t>参数</w:t>
                  </w:r>
                </w:p>
              </w:tc>
            </w:tr>
            <w:tr>
              <w:tc>
                <w:tcPr>
                  <w:tcW w:type="dxa" w:w="8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果皮箱</w:t>
                  </w:r>
                </w:p>
              </w:tc>
              <w:tc>
                <w:tcPr>
                  <w:tcW w:type="dxa" w:w="8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约</w:t>
                  </w:r>
                  <w:r>
                    <w:rPr>
                      <w:rFonts w:ascii="仿宋_GB2312" w:hAnsi="仿宋_GB2312" w:cs="仿宋_GB2312" w:eastAsia="仿宋_GB2312"/>
                      <w:sz w:val="20"/>
                    </w:rPr>
                    <w:t>1000*420*1000 mm</w:t>
                  </w:r>
                </w:p>
              </w:tc>
              <w:tc>
                <w:tcPr>
                  <w:tcW w:type="dxa" w:w="8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b/>
                    </w:rPr>
                    <w:t>果皮箱规格：</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果皮箱上盖及投放口为</w:t>
                  </w:r>
                  <w:r>
                    <w:rPr>
                      <w:rFonts w:ascii="仿宋_GB2312" w:hAnsi="仿宋_GB2312" w:cs="仿宋_GB2312" w:eastAsia="仿宋_GB2312"/>
                      <w:sz w:val="20"/>
                    </w:rPr>
                    <w:t>5.0 mm厚的镀锌钢板，箱体为2.0mm厚的镀锌钢板，底部安装板为2.0mm厚的镀锌钢板，并折U型槽，冲有4个安装孔，保证果皮箱的安装强度；</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20"/>
                    </w:rPr>
                    <w:t>箱门内侧上下安装拉璜，保证在箱门不锁的情形下能自主回位；</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内设壁厚为</w:t>
                  </w:r>
                  <w:r>
                    <w:rPr>
                      <w:rFonts w:ascii="仿宋_GB2312" w:hAnsi="仿宋_GB2312" w:cs="仿宋_GB2312" w:eastAsia="仿宋_GB2312"/>
                      <w:sz w:val="20"/>
                    </w:rPr>
                    <w:t>2.5mm玻璃钢内桶；</w:t>
                  </w:r>
                </w:p>
                <w:p>
                  <w:pPr>
                    <w:pStyle w:val="null3"/>
                    <w:jc w:val="left"/>
                  </w:pPr>
                  <w:r>
                    <w:rPr>
                      <w:rFonts w:ascii="仿宋_GB2312" w:hAnsi="仿宋_GB2312" w:cs="仿宋_GB2312" w:eastAsia="仿宋_GB2312"/>
                      <w:sz w:val="20"/>
                      <w:b/>
                    </w:rPr>
                    <w:t>果皮箱外观</w:t>
                  </w:r>
                  <w:r>
                    <w:rPr>
                      <w:rFonts w:ascii="仿宋_GB2312" w:hAnsi="仿宋_GB2312" w:cs="仿宋_GB2312" w:eastAsia="仿宋_GB2312"/>
                      <w:sz w:val="20"/>
                      <w:b/>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表面打磨光滑平整，进行除油、酸洗、磷化等工艺，并静电喷涂优质防紫外线户外塑粉，经高温烤制固化，不易脱落；</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在相应位置采用油墨丝网印制</w:t>
                  </w:r>
                  <w:r>
                    <w:rPr>
                      <w:rFonts w:ascii="仿宋_GB2312" w:hAnsi="仿宋_GB2312" w:cs="仿宋_GB2312" w:eastAsia="仿宋_GB2312"/>
                      <w:sz w:val="20"/>
                    </w:rPr>
                    <w:t>“可回收物”和“其他垃圾”分类标识，要求油墨不易脱落。</w:t>
                  </w:r>
                </w:p>
              </w:tc>
            </w:tr>
            <w:tr>
              <w:tc>
                <w:tcPr>
                  <w:tcW w:type="dxa" w:w="85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保洁</w:t>
                  </w:r>
                  <w:r>
                    <w:rPr>
                      <w:rFonts w:ascii="仿宋_GB2312" w:hAnsi="仿宋_GB2312" w:cs="仿宋_GB2312" w:eastAsia="仿宋_GB2312"/>
                      <w:sz w:val="20"/>
                    </w:rPr>
                    <w:t>工具箱</w:t>
                  </w:r>
                </w:p>
              </w:tc>
              <w:tc>
                <w:tcPr>
                  <w:tcW w:type="dxa" w:w="8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约</w:t>
                  </w:r>
                  <w:r>
                    <w:rPr>
                      <w:rFonts w:ascii="仿宋_GB2312" w:hAnsi="仿宋_GB2312" w:cs="仿宋_GB2312" w:eastAsia="仿宋_GB2312"/>
                      <w:sz w:val="20"/>
                    </w:rPr>
                    <w:t>2500*600*500mm</w:t>
                  </w:r>
                </w:p>
              </w:tc>
              <w:tc>
                <w:tcPr>
                  <w:tcW w:type="dxa" w:w="8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b/>
                    </w:rPr>
                    <w:t>工具</w:t>
                  </w:r>
                  <w:r>
                    <w:rPr>
                      <w:rFonts w:ascii="仿宋_GB2312" w:hAnsi="仿宋_GB2312" w:cs="仿宋_GB2312" w:eastAsia="仿宋_GB2312"/>
                      <w:sz w:val="20"/>
                      <w:b/>
                    </w:rPr>
                    <w:t>箱规格：</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整体采用</w:t>
                  </w:r>
                  <w:r>
                    <w:rPr>
                      <w:rFonts w:ascii="仿宋_GB2312" w:hAnsi="仿宋_GB2312" w:cs="仿宋_GB2312" w:eastAsia="仿宋_GB2312"/>
                      <w:sz w:val="20"/>
                    </w:rPr>
                    <w:t>1.2mm厚的镀锌钢板制作，底座支撑采用50*50mm方管并焊接3mm厚的钢板形成安装底板；</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20"/>
                    </w:rPr>
                    <w:t>正面下拉式门，两侧加链条；</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侧面为小柜子，方便放置小物品，内部底板方管焊接；所有焊点焊缝应均匀分布并焊接牢固、应尽量采用内面焊接，如需外露焊点焊缝应打磨平整；</w:t>
                  </w:r>
                </w:p>
                <w:p>
                  <w:pPr>
                    <w:pStyle w:val="null3"/>
                    <w:jc w:val="left"/>
                  </w:pPr>
                  <w:r>
                    <w:rPr>
                      <w:rFonts w:ascii="仿宋_GB2312" w:hAnsi="仿宋_GB2312" w:cs="仿宋_GB2312" w:eastAsia="仿宋_GB2312"/>
                      <w:sz w:val="20"/>
                      <w:b/>
                    </w:rPr>
                    <w:t>工具</w:t>
                  </w:r>
                  <w:r>
                    <w:rPr>
                      <w:rFonts w:ascii="仿宋_GB2312" w:hAnsi="仿宋_GB2312" w:cs="仿宋_GB2312" w:eastAsia="仿宋_GB2312"/>
                      <w:sz w:val="20"/>
                      <w:b/>
                    </w:rPr>
                    <w:t>箱</w:t>
                  </w:r>
                  <w:r>
                    <w:rPr>
                      <w:rFonts w:ascii="仿宋_GB2312" w:hAnsi="仿宋_GB2312" w:cs="仿宋_GB2312" w:eastAsia="仿宋_GB2312"/>
                      <w:sz w:val="20"/>
                      <w:b/>
                    </w:rPr>
                    <w:t>外观</w:t>
                  </w:r>
                  <w:r>
                    <w:rPr>
                      <w:rFonts w:ascii="仿宋_GB2312" w:hAnsi="仿宋_GB2312" w:cs="仿宋_GB2312" w:eastAsia="仿宋_GB2312"/>
                      <w:sz w:val="20"/>
                      <w:b/>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表面打磨光滑平整，进行除油、酸洗、磷化等工艺，并静电喷涂优质防紫外线户外塑粉，经高温烤制固化，不易脱落；</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凳面装饰条为镀锌方管材质；</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整体为深灰浅灰搭配，并在箱体相应位置采用油墨丝网印制</w:t>
                  </w:r>
                  <w:r>
                    <w:rPr>
                      <w:rFonts w:ascii="仿宋_GB2312" w:hAnsi="仿宋_GB2312" w:cs="仿宋_GB2312" w:eastAsia="仿宋_GB2312"/>
                      <w:sz w:val="20"/>
                    </w:rPr>
                    <w:t>LOGO或宣传语，油墨不易脱落。</w:t>
                  </w:r>
                </w:p>
              </w:tc>
            </w:tr>
          </w:tbl>
          <w:p>
            <w:pPr>
              <w:pStyle w:val="null3"/>
              <w:ind w:firstLine="480"/>
              <w:jc w:val="both"/>
            </w:pPr>
            <w:r>
              <w:rPr>
                <w:rFonts w:ascii="仿宋_GB2312" w:hAnsi="仿宋_GB2312" w:cs="仿宋_GB2312" w:eastAsia="仿宋_GB2312"/>
                <w:sz w:val="18"/>
                <w:b/>
              </w:rPr>
              <w:t>注：未标明尺寸公差的按照国家相关标准执行。</w:t>
            </w:r>
          </w:p>
          <w:p>
            <w:pPr>
              <w:pStyle w:val="null3"/>
              <w:jc w:val="both"/>
            </w:pPr>
            <w:r>
              <w:rPr>
                <w:rFonts w:ascii="仿宋_GB2312" w:hAnsi="仿宋_GB2312" w:cs="仿宋_GB2312" w:eastAsia="仿宋_GB2312"/>
                <w:sz w:val="20"/>
                <w:b/>
              </w:rPr>
              <w:t>四、商务要求</w:t>
            </w:r>
          </w:p>
          <w:p>
            <w:pPr>
              <w:pStyle w:val="null3"/>
              <w:ind w:firstLine="400"/>
              <w:jc w:val="both"/>
            </w:pPr>
            <w:r>
              <w:rPr>
                <w:rFonts w:ascii="仿宋_GB2312" w:hAnsi="仿宋_GB2312" w:cs="仿宋_GB2312" w:eastAsia="仿宋_GB2312"/>
                <w:sz w:val="20"/>
              </w:rPr>
              <w:t>（一）交货及安装期、交货地点</w:t>
            </w:r>
          </w:p>
          <w:p>
            <w:pPr>
              <w:pStyle w:val="null3"/>
              <w:ind w:firstLine="400"/>
              <w:jc w:val="both"/>
            </w:pPr>
            <w:r>
              <w:rPr>
                <w:rFonts w:ascii="仿宋_GB2312" w:hAnsi="仿宋_GB2312" w:cs="仿宋_GB2312" w:eastAsia="仿宋_GB2312"/>
                <w:sz w:val="20"/>
              </w:rPr>
              <w:t>1.交货及安装期：样品合格后</w:t>
            </w:r>
            <w:r>
              <w:rPr>
                <w:rFonts w:ascii="仿宋_GB2312" w:hAnsi="仿宋_GB2312" w:cs="仿宋_GB2312" w:eastAsia="仿宋_GB2312"/>
                <w:sz w:val="20"/>
              </w:rPr>
              <w:t>60</w:t>
            </w:r>
            <w:r>
              <w:rPr>
                <w:rFonts w:ascii="仿宋_GB2312" w:hAnsi="仿宋_GB2312" w:cs="仿宋_GB2312" w:eastAsia="仿宋_GB2312"/>
                <w:sz w:val="20"/>
              </w:rPr>
              <w:t>天</w:t>
            </w:r>
          </w:p>
          <w:p>
            <w:pPr>
              <w:pStyle w:val="null3"/>
              <w:ind w:firstLine="400"/>
              <w:jc w:val="both"/>
            </w:pPr>
            <w:r>
              <w:rPr>
                <w:rFonts w:ascii="仿宋_GB2312" w:hAnsi="仿宋_GB2312" w:cs="仿宋_GB2312" w:eastAsia="仿宋_GB2312"/>
                <w:sz w:val="20"/>
              </w:rPr>
              <w:t>2.交货安装地点：采购人指定地点</w:t>
            </w:r>
          </w:p>
          <w:p>
            <w:pPr>
              <w:pStyle w:val="null3"/>
              <w:ind w:firstLine="400"/>
              <w:jc w:val="both"/>
            </w:pPr>
            <w:r>
              <w:rPr>
                <w:rFonts w:ascii="仿宋_GB2312" w:hAnsi="仿宋_GB2312" w:cs="仿宋_GB2312" w:eastAsia="仿宋_GB2312"/>
                <w:sz w:val="20"/>
              </w:rPr>
              <w:t>3.交货要求：乙方在本合同签订后5日内向甲方提供样品，经甲方检验合格后批量生产，</w:t>
            </w:r>
            <w:r>
              <w:rPr>
                <w:rFonts w:ascii="仿宋_GB2312" w:hAnsi="仿宋_GB2312" w:cs="仿宋_GB2312" w:eastAsia="仿宋_GB2312"/>
                <w:sz w:val="20"/>
              </w:rPr>
              <w:t>60</w:t>
            </w:r>
            <w:r>
              <w:rPr>
                <w:rFonts w:ascii="仿宋_GB2312" w:hAnsi="仿宋_GB2312" w:cs="仿宋_GB2312" w:eastAsia="仿宋_GB2312"/>
                <w:sz w:val="20"/>
              </w:rPr>
              <w:t>日内交付安装到位。</w:t>
            </w:r>
          </w:p>
          <w:p>
            <w:pPr>
              <w:pStyle w:val="null3"/>
              <w:ind w:firstLine="480"/>
              <w:jc w:val="both"/>
            </w:pPr>
            <w:r>
              <w:rPr>
                <w:rFonts w:ascii="仿宋_GB2312" w:hAnsi="仿宋_GB2312" w:cs="仿宋_GB2312" w:eastAsia="仿宋_GB2312"/>
                <w:sz w:val="20"/>
              </w:rPr>
              <w:t>（二）付款方式：</w:t>
            </w:r>
            <w:r>
              <w:rPr>
                <w:rFonts w:ascii="仿宋_GB2312" w:hAnsi="仿宋_GB2312" w:cs="仿宋_GB2312" w:eastAsia="仿宋_GB2312"/>
                <w:sz w:val="20"/>
              </w:rPr>
              <w:t>本项目设置预付款，合同签订后，样品经甲方检验合格，达到付款条件起</w:t>
            </w:r>
            <w:r>
              <w:rPr>
                <w:rFonts w:ascii="仿宋_GB2312" w:hAnsi="仿宋_GB2312" w:cs="仿宋_GB2312" w:eastAsia="仿宋_GB2312"/>
                <w:sz w:val="20"/>
              </w:rPr>
              <w:t>25 日内，支付合同暂定总金额的 40.00%；批量供货安装到位，经甲方验收合格进行结算，结算完毕后，达到付款条件起 25 日内，支付结算价款的剩余部分。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样品合格后60天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合同签订后，样品经甲方检验合格</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批量供货安装到位，经甲方验收合格进行结算，结算完毕后</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1、验收时间：供应商提出验收申请后，采购人应及时组织最终验收。 2、验收标准： 2.1质量符合国家法律法规规定的合格标准、竞争性磋商文件、磋商响应文件的要求。 2.2验收依据：合同文本、磋商文件和磋商响应文件。 3、其他事宜以合同约定为准。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自验收合格之日起2年，质保期内出现质量问题，应确保接到通知后4个小时之内响应需求，48小时之内完成维修或更换，并承担修理调换费用；所有货物1年内出现表面脱漆、生锈等问题，视为质量不合格，甲方有权要求重新制作安装。如经乙方2次维修或更换仍不能达到本合同约定的质量标准，视作乙方未能按时交货，甲方有权退货并追究乙方的违约责任，若因产品质量问题造成甲方或第三方人身损害或财产损失的，乙方应承担赔偿责任；若因此造成甲方垫付情况，甲方有权向乙方追偿。</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本合同在履行过程中发生的争议，由甲、乙双方当事人协商解决，协商不成的可向甲方所在地人民法院起诉。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各供应商所有分项报价（与最后磋商报价比例一致）同比例下浮。2.所有供应商在磋商截止时间后需提供纸质版响应文件贰份、电子版U盘壹份。纸质版响应文件应与政府采购电子化交易平台中上传的内容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授权书及被授权人身份证</w:t>
            </w:r>
          </w:p>
        </w:tc>
        <w:tc>
          <w:tcPr>
            <w:tcW w:type="dxa" w:w="3322"/>
          </w:tcPr>
          <w:p>
            <w:pPr>
              <w:pStyle w:val="null3"/>
            </w:pPr>
            <w:r>
              <w:rPr>
                <w:rFonts w:ascii="仿宋_GB2312" w:hAnsi="仿宋_GB2312" w:cs="仿宋_GB2312" w:eastAsia="仿宋_GB2312"/>
              </w:rPr>
              <w:t>法定代表人授权委托书（须提供被授权人开标前三个月在本单位缴纳社保的证明资料）（法定代表人直接参加的，须提供法定代表人身份证明及身份证复印件且与营业执照上信息保持一致），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报价表 磋商方案说明书.docx 供应商承诺书.docx 响应文件封面 产品技术参数表 供应商认为有必要补充说明的事项.docx 残疾人福利性单位声明函 标的清单 供应商资格证明文件.docx 响应函 报价表.docx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至少以下三处的项目名称、项目编号、标段与本项目完全一致：（1）竞争性磋商响应文件封面（2）响应函（3）法定代表人（主要负责人）委托授权书\身份证明</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磋商方案说明书.docx 供应商承诺书.docx 响应文件封面 产品技术参数表 供应商认为有必要补充说明的事项.docx 残疾人福利性单位声明函 标的清单 供应商资格证明文件.docx 响应函 报价表.docx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磋商方案说明书.docx 供应商承诺书.docx 响应文件封面 产品技术参数表 供应商认为有必要补充说明的事项.docx 残疾人福利性单位声明函 标的清单 供应商资格证明文件.docx 响应函 报价表.docx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磋商方案说明书.docx 供应商承诺书.docx 响应文件封面 产品技术参数表 供应商认为有必要补充说明的事项.docx 残疾人福利性单位声明函 标的清单 供应商资格证明文件.docx 响应函 报价表.docx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磋商方案说明书.docx 供应商承诺书.docx 响应文件封面 产品技术参数表 供应商认为有必要补充说明的事项.docx 残疾人福利性单位声明函 标的清单 供应商资格证明文件.docx 响应函 报价表.docx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磋商方案说明书.docx 供应商承诺书.docx 响应文件封面 产品技术参数表 供应商认为有必要补充说明的事项.docx 残疾人福利性单位声明函 标的清单 供应商资格证明文件.docx 响应函 报价表.docx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同时满足以下条款：（1）货币单位符合竞争性磋商文件要求（2）报价符合唯一性要求（3）未超出采购预算或最高限价</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磋商方案说明书.docx 供应商承诺书.docx 响应文件封面 产品技术参数表 供应商认为有必要补充说明的事项.docx 残疾人福利性单位声明函 标的清单 供应商资格证明文件.docx 响应函 报价表.docx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磋商方案说明书.docx 供应商承诺书.docx 响应文件封面 产品技术参数表 供应商认为有必要补充说明的事项.docx 残疾人福利性单位声明函 标的清单 供应商资格证明文件.docx 响应函 报价表.docx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磋商方案说明书.docx 供应商承诺书.docx 响应文件封面 产品技术参数表 供应商认为有必要补充说明的事项.docx 残疾人福利性单位声明函 标的清单 供应商资格证明文件.docx 响应函 报价表.docx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磋商方案说明书.docx 供应商承诺书.docx 响应文件封面 产品技术参数表 供应商认为有必要补充说明的事项.docx 残疾人福利性单位声明函 标的清单 供应商资格证明文件.docx 响应函 报价表.docx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投标产品中每有一项为节能产品的得0.5分，每有一项为环境标志产品的得0.5分，供应商所投产品中每有一项产品同时为节能产品和环境标志产品的得1分，不重复计分，最高得2分。 节能产品根据《国务院办公厅关于建立政府强制采购节能产品制度的通知》（国办发〔2007〕51号）的规定，环境标志产品根据《环境标志产品政府采购实施的意见》（财库〔2006〕90号）的规定，依据品目清单和认证证书实施政府采购优先采购和强制采购。</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评审内容：①售后服务机构承诺；②售后服务保障措施；③人员配置安排计划；④故障处理响应时间安排计划；⑤服务保证期限；⑥服务保证的范围承诺。 评审依据：每一项内容描述详细，切实可行符合项目实际内容得2.0分，①～⑥项合计得12分。内容①～⑥项任意一项缺项扣2.0分，扣完为止；内容①～⑥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供货能力、及履约能力</w:t>
            </w:r>
          </w:p>
        </w:tc>
        <w:tc>
          <w:tcPr>
            <w:tcW w:type="dxa" w:w="2492"/>
          </w:tcPr>
          <w:p>
            <w:pPr>
              <w:pStyle w:val="null3"/>
            </w:pPr>
            <w:r>
              <w:rPr>
                <w:rFonts w:ascii="仿宋_GB2312" w:hAnsi="仿宋_GB2312" w:cs="仿宋_GB2312" w:eastAsia="仿宋_GB2312"/>
              </w:rPr>
              <w:t>评审内容：①供货能力；②履约能力。评审依据：每一项内容描述详细，切实可行符合项目实际内容得5.0分，①～②项合计得10分。内容①～②项任意一项缺项扣5.0分，扣完为止；内容①～②项里有一项内容缺陷（缺陷是指：内容不详细具体、条理不清晰、描述过于简单、与项目特点不匹配、凭空编造、出现常识性错误、不可能实现的夸大情形、存在不适用项目实际情况的情形等）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评审内容：①整体规划；②备货；③进度计划；④供货组织；⑤人员配置；⑥分工明细；⑦配送保障。 评审依据：每一项内容描述详细，切实可行符合项目实际内容得2.0分，①～⑦项合计得14分。内容①～⑦项任意一项缺项扣2.0分，扣完为止；内容①～⑦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评审内容：①质量保证措施；②质量保证承诺。 评审依据：每一项内容描述详细，切实可行符合项目实际内容得4分，①～②项合计得8分。内容①～②项任意一项缺项扣4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评审内容：针对本项目实际情况，提出切实可行的合理化建议。评审依据：内容描述详细，切实可行符合项目实际内容得6分。内容有一项内容缺陷（缺陷是指：内容不详细具体、条理不清晰、描述过于简单、与项目特点不匹配、凭空编造、出现常识性错误、不可能实现的夸大情形、存在不适用项目实际情况的情形等）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提供2022年12月以来承担过类似项目业绩。（以合同签订日期或中标通知书签署日期为准)；每提供一项业绩得2分，最高得6分。须提供合同或中标通知书复印件并加盖公章，不提供不得分。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磋商响应产品选型符合使用需求，产品配置完整合理，其型号、技术参数清晰明确，根据投标产品的技术指标和性能对磋商文件的响应程度计分。产品整体功能或技术参数完全满足磋商文件要求计4分，部分项负偏离按以下说明扣分。 1.其响应技术指标和性能出现主要技术参数负偏离的（▲号条款），每项扣除2分，扣完为止；2.其响应技术指标和性能出现一般技术参数负偏离的，每项扣除1分，扣完为止。 注：技术参数偏离情况除偏离表响应外还须提供相应的证明材料，否则不计分。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评审内容：包含但不限于①安装组织措施；②调试组织措施。评审依据：每一项内容描述详细，切实可行符合项目实际内容得4.0分，①～②项合计得8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采用低价优先法计算，即满足磋商文件要求且投标价格最低的投标报价为评标基准价，其价格分为满分。 投标报价得分＝（评标基准价/投标报价）×30% ×100备注：当磋商小组认为某个供应商的报价明显低于其他通过符合性审查供应商的报价，有可能影响产品质量和不能诚信履约的，应要求该供应商在评标现场合理的时间内提供书面说明，必要时提交相关证明材料；供应商不能证明其报价合理的，磋商小组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