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95089">
      <w:pPr>
        <w:keepNext w:val="0"/>
        <w:keepLines w:val="0"/>
        <w:pageBreakBefore w:val="0"/>
        <w:wordWrap/>
        <w:overflowPunct/>
        <w:topLinePunct w:val="0"/>
        <w:bidi w:val="0"/>
        <w:spacing w:line="360" w:lineRule="auto"/>
        <w:jc w:val="center"/>
        <w:rPr>
          <w:rFonts w:hint="eastAsia" w:ascii="宋体" w:hAnsi="宋体" w:eastAsia="宋体" w:cs="宋体"/>
          <w:b/>
          <w:bCs/>
          <w:spacing w:val="0"/>
          <w:position w:val="0"/>
          <w:sz w:val="36"/>
          <w:szCs w:val="36"/>
        </w:rPr>
      </w:pPr>
      <w:r>
        <w:rPr>
          <w:rFonts w:hint="eastAsia" w:ascii="宋体" w:hAnsi="宋体" w:eastAsia="宋体" w:cs="宋体"/>
          <w:b/>
          <w:bCs/>
          <w:spacing w:val="0"/>
          <w:position w:val="0"/>
          <w:sz w:val="28"/>
          <w:szCs w:val="28"/>
        </w:rPr>
        <w:t>合同草案条款</w:t>
      </w:r>
    </w:p>
    <w:p w14:paraId="0CF99953">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采购人（全称）：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；（以下简称甲方）</w:t>
      </w:r>
    </w:p>
    <w:p w14:paraId="2AEADAFD">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kern w:val="0"/>
          <w:sz w:val="24"/>
          <w:szCs w:val="24"/>
          <w:u w:val="single"/>
        </w:rPr>
      </w:pPr>
      <w:r>
        <w:rPr>
          <w:rFonts w:hint="eastAsia" w:ascii="宋体" w:hAnsi="宋体" w:eastAsia="宋体" w:cs="宋体"/>
          <w:b/>
          <w:kern w:val="0"/>
          <w:sz w:val="24"/>
          <w:szCs w:val="24"/>
        </w:rPr>
        <w:t>成交供应商（全称）：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；（以下简称乙方）</w:t>
      </w:r>
    </w:p>
    <w:p w14:paraId="71045855">
      <w:pPr>
        <w:keepNext w:val="0"/>
        <w:keepLines w:val="0"/>
        <w:pageBreakBefore w:val="0"/>
        <w:wordWrap/>
        <w:overflowPunct/>
        <w:topLinePunct w:val="0"/>
        <w:bidi w:val="0"/>
        <w:spacing w:line="360" w:lineRule="auto"/>
        <w:ind w:firstLine="480"/>
        <w:rPr>
          <w:rFonts w:hint="eastAsia" w:ascii="宋体" w:hAnsi="宋体" w:eastAsia="宋体" w:cs="宋体"/>
          <w:color w:val="auto"/>
          <w:sz w:val="24"/>
          <w:highlight w:val="none"/>
        </w:rPr>
      </w:pPr>
      <w:r>
        <w:rPr>
          <w:rFonts w:hint="eastAsia" w:ascii="宋体" w:hAnsi="宋体" w:eastAsia="宋体" w:cs="宋体"/>
          <w:kern w:val="0"/>
          <w:sz w:val="24"/>
          <w:szCs w:val="24"/>
        </w:rPr>
        <w:t>依照《中华人民共和国民法典》及其他有关法律、法规，遵循平等、自愿、公平和诚信的原则，双方就本项目范围与相关服务事项协商一致，订立本合同。</w:t>
      </w:r>
    </w:p>
    <w:p w14:paraId="4C549FFF">
      <w:pPr>
        <w:keepNext w:val="0"/>
        <w:keepLines w:val="0"/>
        <w:pageBreakBefore w:val="0"/>
        <w:widowControl/>
        <w:kinsoku/>
        <w:wordWrap/>
        <w:overflowPunct/>
        <w:topLinePunct w:val="0"/>
        <w:autoSpaceDE w:val="0"/>
        <w:autoSpaceDN w:val="0"/>
        <w:bidi w:val="0"/>
        <w:adjustRightInd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第一条 </w:t>
      </w:r>
      <w:r>
        <w:rPr>
          <w:rFonts w:hint="eastAsia" w:ascii="宋体" w:hAnsi="宋体" w:eastAsia="宋体" w:cs="宋体"/>
          <w:b/>
          <w:color w:val="auto"/>
          <w:sz w:val="24"/>
          <w:highlight w:val="none"/>
        </w:rPr>
        <w:t>合同组成</w:t>
      </w:r>
    </w:p>
    <w:p w14:paraId="723AF2F1">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3626188A">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06FA2F52">
      <w:pPr>
        <w:keepNext w:val="0"/>
        <w:keepLines w:val="0"/>
        <w:pageBreakBefore w:val="0"/>
        <w:kinsoku/>
        <w:wordWrap/>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w:t>
      </w:r>
      <w:r>
        <w:rPr>
          <w:rFonts w:hint="eastAsia" w:ascii="宋体" w:hAnsi="宋体" w:eastAsia="宋体" w:cs="宋体"/>
          <w:color w:val="auto"/>
          <w:sz w:val="24"/>
          <w:highlight w:val="none"/>
          <w:lang w:val="en-US" w:eastAsia="zh-CN"/>
        </w:rPr>
        <w:t>单一来源采购文件</w:t>
      </w:r>
      <w:r>
        <w:rPr>
          <w:rFonts w:hint="eastAsia" w:ascii="宋体" w:hAnsi="宋体" w:eastAsia="宋体" w:cs="宋体"/>
          <w:color w:val="auto"/>
          <w:sz w:val="24"/>
          <w:highlight w:val="none"/>
          <w:lang w:val="zh-CN"/>
        </w:rPr>
        <w:t>及澄清文件。</w:t>
      </w:r>
    </w:p>
    <w:p w14:paraId="7492F5E3">
      <w:pPr>
        <w:keepNext w:val="0"/>
        <w:keepLines w:val="0"/>
        <w:pageBreakBefore w:val="0"/>
        <w:kinsoku/>
        <w:wordWrap/>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w:t>
      </w:r>
    </w:p>
    <w:p w14:paraId="40641D55">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lang w:val="zh-CN"/>
        </w:rPr>
        <w:t>通知书。</w:t>
      </w:r>
    </w:p>
    <w:p w14:paraId="0A2B541C">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lang w:val="zh-CN" w:eastAsia="zh-CN"/>
        </w:rPr>
        <w:t>（负责人）</w:t>
      </w:r>
      <w:r>
        <w:rPr>
          <w:rFonts w:hint="eastAsia" w:ascii="宋体" w:hAnsi="宋体" w:eastAsia="宋体" w:cs="宋体"/>
          <w:color w:val="auto"/>
          <w:sz w:val="24"/>
          <w:highlight w:val="none"/>
          <w:lang w:val="zh-CN"/>
        </w:rPr>
        <w:t>授权书。</w:t>
      </w:r>
    </w:p>
    <w:p w14:paraId="4A67F6EF">
      <w:pPr>
        <w:keepNext w:val="0"/>
        <w:keepLines w:val="0"/>
        <w:pageBreakBefore w:val="0"/>
        <w:kinsoku/>
        <w:wordWrap/>
        <w:topLinePunct w:val="0"/>
        <w:bidi w:val="0"/>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或其授权代表签字并加盖单位公章确认后视为本合同的组成部分。</w:t>
      </w:r>
    </w:p>
    <w:p w14:paraId="7F20A83A">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或其授权代表签字并加盖单位公章确认的补充协议。</w:t>
      </w:r>
    </w:p>
    <w:p w14:paraId="112AFD0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文件及质疑解答文件内容违背或低于甲方</w:t>
      </w:r>
      <w:r>
        <w:rPr>
          <w:rFonts w:hint="eastAsia" w:ascii="宋体" w:hAnsi="宋体" w:eastAsia="宋体" w:cs="宋体"/>
          <w:color w:val="auto"/>
          <w:sz w:val="24"/>
          <w:highlight w:val="none"/>
          <w:lang w:val="en-US" w:eastAsia="zh-CN"/>
        </w:rPr>
        <w:t>单一来源采购文件</w:t>
      </w:r>
      <w:r>
        <w:rPr>
          <w:rFonts w:hint="eastAsia" w:ascii="宋体" w:hAnsi="宋体" w:eastAsia="宋体" w:cs="宋体"/>
          <w:color w:val="auto"/>
          <w:sz w:val="24"/>
          <w:highlight w:val="none"/>
          <w:lang w:val="zh-CN"/>
        </w:rPr>
        <w:t>要求或任何可能导致影响当次采购目的的情形，均应当被视为乙方自动放弃</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文件及质疑解答文件中相应部分而同意以</w:t>
      </w:r>
      <w:r>
        <w:rPr>
          <w:rFonts w:hint="eastAsia" w:ascii="宋体" w:hAnsi="宋体" w:eastAsia="宋体" w:cs="宋体"/>
          <w:color w:val="auto"/>
          <w:sz w:val="24"/>
          <w:highlight w:val="none"/>
          <w:lang w:val="en-US" w:eastAsia="zh-CN"/>
        </w:rPr>
        <w:t>单一来源采购文件</w:t>
      </w:r>
      <w:r>
        <w:rPr>
          <w:rFonts w:hint="eastAsia" w:ascii="宋体" w:hAnsi="宋体" w:eastAsia="宋体" w:cs="宋体"/>
          <w:color w:val="auto"/>
          <w:sz w:val="24"/>
          <w:highlight w:val="none"/>
          <w:lang w:val="zh-CN"/>
        </w:rPr>
        <w:t>相应内容为准。如果乙方的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文件及质疑解答文件内容高于甲方</w:t>
      </w:r>
      <w:r>
        <w:rPr>
          <w:rFonts w:hint="eastAsia" w:ascii="宋体" w:hAnsi="宋体" w:eastAsia="宋体" w:cs="宋体"/>
          <w:color w:val="auto"/>
          <w:sz w:val="24"/>
          <w:highlight w:val="none"/>
          <w:lang w:val="en-US" w:eastAsia="zh-CN"/>
        </w:rPr>
        <w:t>单一来源采购文件</w:t>
      </w:r>
      <w:r>
        <w:rPr>
          <w:rFonts w:hint="eastAsia" w:ascii="宋体" w:hAnsi="宋体" w:eastAsia="宋体" w:cs="宋体"/>
          <w:color w:val="auto"/>
          <w:sz w:val="24"/>
          <w:highlight w:val="none"/>
          <w:lang w:val="zh-CN"/>
        </w:rPr>
        <w:t>要求，则以乙方的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2AF68A3E">
      <w:pPr>
        <w:keepNext w:val="0"/>
        <w:keepLines w:val="0"/>
        <w:pageBreakBefore w:val="0"/>
        <w:kinsoku/>
        <w:wordWrap/>
        <w:overflowPunct w:val="0"/>
        <w:topLinePunct w:val="0"/>
        <w:bidi w:val="0"/>
        <w:snapToGrid/>
        <w:spacing w:line="360" w:lineRule="auto"/>
        <w:ind w:left="0" w:firstLine="480" w:firstLineChars="200"/>
        <w:textAlignment w:val="auto"/>
        <w:rPr>
          <w:rFonts w:hint="eastAsia" w:ascii="宋体" w:hAnsi="宋体" w:eastAsia="宋体" w:cs="宋体"/>
          <w:b/>
          <w:bCs/>
          <w:kern w:val="0"/>
          <w:sz w:val="24"/>
          <w:szCs w:val="24"/>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4258297F">
      <w:pPr>
        <w:pStyle w:val="6"/>
        <w:keepNext w:val="0"/>
        <w:keepLines w:val="0"/>
        <w:pageBreakBefore w:val="0"/>
        <w:wordWrap/>
        <w:overflowPunct/>
        <w:topLinePunct w:val="0"/>
        <w:bidi w:val="0"/>
        <w:spacing w:line="360" w:lineRule="auto"/>
        <w:ind w:left="0" w:leftChars="0" w:firstLine="0" w:firstLineChars="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lang w:eastAsia="zh-CN"/>
        </w:rPr>
        <w:t>条 项目名称及</w:t>
      </w:r>
      <w:r>
        <w:rPr>
          <w:rFonts w:hint="eastAsia" w:ascii="宋体" w:hAnsi="宋体" w:eastAsia="宋体" w:cs="宋体"/>
          <w:b/>
          <w:sz w:val="24"/>
          <w:szCs w:val="24"/>
          <w:highlight w:val="none"/>
          <w:lang w:val="en-US" w:eastAsia="zh-CN"/>
        </w:rPr>
        <w:t>服务</w:t>
      </w:r>
      <w:r>
        <w:rPr>
          <w:rFonts w:hint="eastAsia" w:ascii="宋体" w:hAnsi="宋体" w:eastAsia="宋体" w:cs="宋体"/>
          <w:b/>
          <w:sz w:val="24"/>
          <w:szCs w:val="24"/>
          <w:highlight w:val="none"/>
          <w:lang w:eastAsia="zh-CN"/>
        </w:rPr>
        <w:t>内容</w:t>
      </w:r>
    </w:p>
    <w:p w14:paraId="5BB98272">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1.项目名称：西安浐灞国际港2025年-2026年医保经办业务协办服务项目（二次）</w:t>
      </w:r>
      <w:r>
        <w:rPr>
          <w:rFonts w:hint="eastAsia" w:ascii="宋体" w:hAnsi="宋体" w:eastAsia="宋体" w:cs="宋体"/>
          <w:sz w:val="24"/>
          <w:szCs w:val="24"/>
          <w:highlight w:val="none"/>
          <w:lang w:eastAsia="zh-CN"/>
        </w:rPr>
        <w:t>。</w:t>
      </w:r>
    </w:p>
    <w:p w14:paraId="62C3D50B">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2.服务内容：</w:t>
      </w:r>
    </w:p>
    <w:p w14:paraId="090E6406">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1）城镇职工基本医疗保险业务，主要包括:</w:t>
      </w:r>
    </w:p>
    <w:p w14:paraId="6319BAF4">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（1）协助办理对辖区内新增加的参保企业进行登记立户，完成单位缴费基数申报的受理、单位参保征集、单位核定、正常核定回退、单位征集回退等业务；</w:t>
      </w:r>
    </w:p>
    <w:p w14:paraId="7F165D26">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（2）协助办理辖区内已参保企业职工人员日常增减变动、个人基本信息登记、个人参保信息登记、个人批量新参保、个人批量恢复缴费及暂停缴费、个人恢复缴费及暂停缴费、在职转退休等业务；</w:t>
      </w:r>
    </w:p>
    <w:p w14:paraId="20FA210A">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（3）协助办理辖区内参保单位变更业务：单位缴费基数变更、自助查询机单位经办人绑定及变更、单位重要信息及非重要信息维护、单位账户信息维护、单位参保信息维护单位缴费基数补差；</w:t>
      </w:r>
    </w:p>
    <w:p w14:paraId="5178E641">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（4）完成辖区内参保单位社保年度缴费基数申报业务的通知、受理工作；</w:t>
      </w:r>
    </w:p>
    <w:p w14:paraId="74184CA2">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协助办理辖区内参保个人变更业务：个人信息维护、个人参保信息维护、个人缴费基数变更、个人缴费基数补差、在职人员补收、退休人员补收、个人退收、转入申请表、异地医疗人员转入、异地转入视同缴费认定、参保转移和接收的相关工作；</w:t>
      </w:r>
    </w:p>
    <w:p w14:paraId="6E8E0DFE">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（6）协助办理对城镇职工急诊抢救、住院后，未在定点医疗机构实施统筹结算的费用报销申请资料进行受理登记、审核和结算；</w:t>
      </w:r>
    </w:p>
    <w:p w14:paraId="2C8F6241">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（7）协助办理对城镇职工在门诊发生的特殊检查、特殊治疗、特殊病种审批备案和治疗的申请资料，进行受理登记、审核和结算；</w:t>
      </w:r>
    </w:p>
    <w:p w14:paraId="688B55DA">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（8）协助办理慢性病初审资料申报受理、审核、认定结果录入、复审资料申报受理审核、认定结果录入及慢性病申请补助金额费用的受理、审核和结算；</w:t>
      </w:r>
    </w:p>
    <w:p w14:paraId="247A6609">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（9）对城镇职工异地安置退体人员、异地长期居住人员、常驻异地等人员以及因疾病需异地转诊就医人员提出的异地就医申请进行登记备案；</w:t>
      </w:r>
    </w:p>
    <w:p w14:paraId="1221003B">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（10）协助办理生育津贴医院端拨付数据的审核、结算及零星报销受理、审核和结算；</w:t>
      </w:r>
    </w:p>
    <w:p w14:paraId="689DA810">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（11）协助办理对城镇职工在异地门诊发生的特殊药品审批备案和费用的申请资料进行受理登记、审核和结算；</w:t>
      </w:r>
    </w:p>
    <w:p w14:paraId="24DB2F9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（12）协助办理对城镇职工生育住院、产前检查、生育津贴未在定点医疗机构实施统筹结算的费用报销申请资料进行受理登记、审核和结算。</w:t>
      </w:r>
    </w:p>
    <w:p w14:paraId="1267A238">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2）城乡居民基本医疗保险业务，主要包括:</w:t>
      </w:r>
    </w:p>
    <w:p w14:paraId="0F3CD768">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（1）协助办理对城乡居民住院后，未在定点医疗机构实施统筹结算的费用报销申请资料进行受理登记、审核和结算；</w:t>
      </w:r>
    </w:p>
    <w:p w14:paraId="49C15C1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（2）协助办理对城乡居民在门诊发生的特殊病种审批备案和治疗费用的申请资料进行受理登记、审核和结算；</w:t>
      </w:r>
    </w:p>
    <w:p w14:paraId="67EBA5E1">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（3）协助办理慢性病初审资料申报受理、审核和录入、复审资料申报受理、审核和录入及慢性病申请补助金额费用的受理、审核和结算；</w:t>
      </w:r>
    </w:p>
    <w:p w14:paraId="65F81DA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（4）对城乡居民异地长期居住、因疾病需异地转诊就医等情况提出的异地就医申请进行登记备案；</w:t>
      </w:r>
    </w:p>
    <w:p w14:paraId="50360FA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（5）医保征缴业务相关的政策宣传、业务培训。</w:t>
      </w:r>
    </w:p>
    <w:p w14:paraId="312CE3A5">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（6）协助办理参保状态审核、医疗保障待遇审核及新参保群众的参保登记业务；</w:t>
      </w:r>
    </w:p>
    <w:p w14:paraId="614F50C7">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（7）对城乡居民在异地门诊发生的特殊药品审批备案和费用的申请资料进行受理登记、审核和结算。</w:t>
      </w:r>
    </w:p>
    <w:p w14:paraId="6DEA41F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3）定点医药机构业务，主要包括：</w:t>
      </w:r>
    </w:p>
    <w:p w14:paraId="56C3ECBC">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（1）协助办理对定点医疗机构城乡居民医保门诊统筹数据的接收、审核和清算工作；</w:t>
      </w:r>
    </w:p>
    <w:p w14:paraId="5EB8991E">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（2）协助办理定点医疗机构职工医保和居民医保统筹挂账费用数据的接收、审核和清算工作；</w:t>
      </w:r>
    </w:p>
    <w:p w14:paraId="03B96BBA">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（3）协助办理定点医药机构职工医保个人账户刷卡费用数据的接收、审核、清算工作；</w:t>
      </w:r>
    </w:p>
    <w:p w14:paraId="19DF36F3">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（4）协助办理对定点医疗机构城乡居民医保“两病”门诊的数据的接收、审核和清算工作；</w:t>
      </w:r>
    </w:p>
    <w:p w14:paraId="4BD8498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（5）协助办理定点医疗机构职工医保和居民医保门诊慢性病数据的接收、审核和清算工作；</w:t>
      </w:r>
    </w:p>
    <w:p w14:paraId="34C5FFEC">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（6）协助办理新增定点医药机构的申请资料初审、现场评估、政策培训、服务协议签订工作；</w:t>
      </w:r>
    </w:p>
    <w:p w14:paraId="0383A1F9">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（7）协助开展定点医药机构的日常巡査稽核、专项巡查以及发生违规问题、投诉举报的核查处理工作；</w:t>
      </w:r>
    </w:p>
    <w:p w14:paraId="4FA7AD7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（8）定点医药机构基础信息、服务项目、清算分中心维护等信息变更业务；</w:t>
      </w:r>
    </w:p>
    <w:p w14:paraId="037CC46B">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（9）协助办理药品、耗材集中采购工作，包括两定机构采购合同落实情况统计、医保资金结余留用测算考核等工作。</w:t>
      </w:r>
    </w:p>
    <w:p w14:paraId="101D0E76">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4）医疗救助经办服务，主要包括：</w:t>
      </w:r>
    </w:p>
    <w:p w14:paraId="14308096">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（1）协助办理对符合政策规定的服务对象申办医疗救助资料进行受理、审核、费用结算；</w:t>
      </w:r>
    </w:p>
    <w:p w14:paraId="6E0D45D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（2）协助办理定点医疗机构“一站式”救助费用的审核、结算；</w:t>
      </w:r>
    </w:p>
    <w:p w14:paraId="06CB394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（3）协助对因病致贫对象进行入户调查。入户调查结束后，对符合医疗救助的对象，按照医疗救助标准进行费用的审核、报销、公示；</w:t>
      </w:r>
    </w:p>
    <w:p w14:paraId="2BB67F43">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（4）医疗救助项目宣传培训、数据统计、报表报送、档案管理工作。</w:t>
      </w:r>
    </w:p>
    <w:p w14:paraId="3A222983">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5）医保乡村振兴，主要包括：</w:t>
      </w:r>
    </w:p>
    <w:p w14:paraId="7ED0BBD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特殊人群防止因病返贫致贫动态监测预警信息核查、统计等相关工作。</w:t>
      </w:r>
    </w:p>
    <w:p w14:paraId="41BEBE02">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6）本次服务还包括：</w:t>
      </w:r>
    </w:p>
    <w:p w14:paraId="23FE10B4">
      <w:pPr>
        <w:keepNext w:val="0"/>
        <w:keepLines w:val="0"/>
        <w:pageBreakBefore w:val="0"/>
        <w:wordWrap/>
        <w:overflowPunct/>
        <w:topLinePunct w:val="0"/>
        <w:bidi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完成省、市、区安排的热线工单核查回复、医保政策各类宣传、培训工作及其他临时性业务。</w:t>
      </w:r>
    </w:p>
    <w:p w14:paraId="47F26B05">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 xml:space="preserve">第三条 </w:t>
      </w:r>
      <w:r>
        <w:rPr>
          <w:rFonts w:hint="eastAsia" w:ascii="宋体" w:hAnsi="宋体" w:eastAsia="宋体" w:cs="宋体"/>
          <w:b/>
          <w:bCs/>
          <w:kern w:val="0"/>
          <w:sz w:val="24"/>
          <w:szCs w:val="24"/>
          <w:highlight w:val="none"/>
        </w:rPr>
        <w:t>服务地点及服务期限</w:t>
      </w:r>
    </w:p>
    <w:p w14:paraId="00B84F36">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1</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服务地点：</w:t>
      </w:r>
      <w:r>
        <w:rPr>
          <w:rFonts w:hint="eastAsia" w:ascii="宋体" w:hAnsi="宋体" w:eastAsia="宋体" w:cs="宋体"/>
          <w:bCs/>
          <w:kern w:val="0"/>
          <w:sz w:val="24"/>
          <w:szCs w:val="24"/>
          <w:highlight w:val="none"/>
          <w:lang w:eastAsia="zh-CN"/>
        </w:rPr>
        <w:t>采购人指定地点</w:t>
      </w:r>
      <w:r>
        <w:rPr>
          <w:rFonts w:hint="eastAsia" w:ascii="宋体" w:hAnsi="宋体" w:eastAsia="宋体" w:cs="宋体"/>
          <w:bCs/>
          <w:kern w:val="0"/>
          <w:sz w:val="24"/>
          <w:szCs w:val="24"/>
          <w:highlight w:val="none"/>
        </w:rPr>
        <w:t>。</w:t>
      </w:r>
    </w:p>
    <w:p w14:paraId="694290C0">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highlight w:val="none"/>
          <w:lang w:eastAsia="zh-CN"/>
        </w:rPr>
      </w:pPr>
      <w:r>
        <w:rPr>
          <w:rFonts w:hint="eastAsia" w:ascii="宋体" w:hAnsi="宋体" w:eastAsia="宋体" w:cs="宋体"/>
          <w:bCs/>
          <w:kern w:val="0"/>
          <w:sz w:val="24"/>
          <w:szCs w:val="24"/>
          <w:highlight w:val="none"/>
        </w:rPr>
        <w:t>2</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服务期限：</w:t>
      </w:r>
      <w:r>
        <w:rPr>
          <w:rFonts w:hint="eastAsia" w:ascii="宋体" w:hAnsi="宋体" w:eastAsia="宋体" w:cs="宋体"/>
          <w:bCs/>
          <w:kern w:val="0"/>
          <w:sz w:val="24"/>
          <w:szCs w:val="24"/>
          <w:highlight w:val="none"/>
          <w:lang w:eastAsia="zh-CN"/>
        </w:rPr>
        <w:t>自</w:t>
      </w:r>
      <w:r>
        <w:rPr>
          <w:rFonts w:hint="eastAsia" w:ascii="宋体" w:hAnsi="宋体" w:eastAsia="宋体" w:cs="宋体"/>
          <w:bCs/>
          <w:kern w:val="0"/>
          <w:sz w:val="24"/>
          <w:szCs w:val="24"/>
          <w:highlight w:val="none"/>
          <w:lang w:val="en-US" w:eastAsia="zh-CN"/>
        </w:rPr>
        <w:t>合同签订之日</w:t>
      </w:r>
      <w:r>
        <w:rPr>
          <w:rFonts w:hint="eastAsia" w:ascii="宋体" w:hAnsi="宋体" w:eastAsia="宋体" w:cs="宋体"/>
          <w:bCs/>
          <w:kern w:val="0"/>
          <w:sz w:val="24"/>
          <w:szCs w:val="24"/>
          <w:highlight w:val="none"/>
          <w:lang w:eastAsia="zh-CN"/>
        </w:rPr>
        <w:t>起一年</w:t>
      </w:r>
      <w:r>
        <w:rPr>
          <w:rFonts w:hint="eastAsia" w:ascii="宋体" w:hAnsi="宋体" w:eastAsia="宋体" w:cs="宋体"/>
          <w:bCs/>
          <w:kern w:val="0"/>
          <w:sz w:val="24"/>
          <w:szCs w:val="24"/>
          <w:highlight w:val="none"/>
          <w:lang w:val="en-US" w:eastAsia="zh-CN"/>
        </w:rPr>
        <w:t xml:space="preserve"> </w:t>
      </w:r>
    </w:p>
    <w:p w14:paraId="4ED1D3E4">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 xml:space="preserve">第四条 </w:t>
      </w:r>
      <w:r>
        <w:rPr>
          <w:rFonts w:hint="eastAsia" w:ascii="宋体" w:hAnsi="宋体" w:eastAsia="宋体" w:cs="宋体"/>
          <w:b/>
          <w:bCs/>
          <w:kern w:val="0"/>
          <w:sz w:val="24"/>
          <w:szCs w:val="24"/>
          <w:highlight w:val="none"/>
        </w:rPr>
        <w:t>合同价款</w:t>
      </w:r>
    </w:p>
    <w:p w14:paraId="1060F99C">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1</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本合同为固定总价合同，</w:t>
      </w:r>
      <w:r>
        <w:rPr>
          <w:rFonts w:hint="eastAsia" w:ascii="宋体" w:hAnsi="宋体" w:eastAsia="宋体" w:cs="宋体"/>
          <w:kern w:val="0"/>
          <w:sz w:val="24"/>
          <w:szCs w:val="24"/>
          <w:highlight w:val="none"/>
        </w:rPr>
        <w:t>合同总价包含项目完成的所有费用及其他相关费用等，不受市场价格变化或实际工作量变化的影响。</w:t>
      </w:r>
    </w:p>
    <w:p w14:paraId="64D7F3DB">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bCs/>
          <w:kern w:val="0"/>
          <w:sz w:val="24"/>
          <w:szCs w:val="24"/>
          <w:highlight w:val="none"/>
        </w:rPr>
        <w:t>本合同总金额费用</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41B3AE12">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 xml:space="preserve">第五条 </w:t>
      </w:r>
      <w:r>
        <w:rPr>
          <w:rFonts w:hint="eastAsia" w:ascii="宋体" w:hAnsi="宋体" w:eastAsia="宋体" w:cs="宋体"/>
          <w:b/>
          <w:bCs/>
          <w:kern w:val="0"/>
          <w:sz w:val="24"/>
          <w:szCs w:val="24"/>
          <w:highlight w:val="none"/>
        </w:rPr>
        <w:t>付款方式</w:t>
      </w:r>
    </w:p>
    <w:p w14:paraId="619E5398">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1</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付款方式：</w:t>
      </w:r>
    </w:p>
    <w:p w14:paraId="4FFAC401">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highlight w:val="none"/>
          <w:lang w:val="en-US" w:eastAsia="zh-CN"/>
        </w:rPr>
      </w:pPr>
      <w:r>
        <w:rPr>
          <w:rFonts w:hint="eastAsia" w:ascii="宋体" w:hAnsi="宋体" w:eastAsia="宋体" w:cs="宋体"/>
          <w:bCs/>
          <w:kern w:val="0"/>
          <w:sz w:val="24"/>
          <w:szCs w:val="24"/>
          <w:highlight w:val="none"/>
          <w:lang w:val="en-US" w:eastAsia="zh-CN"/>
        </w:rPr>
        <w:t>付款条件说明：服务满6个月，乙方应向甲方出具书面付款通知（注明开户行及账户信息）以及符合国家财税规定的增值税发票，达到付款条件起30日内，支付合同总金额的40.00%。</w:t>
      </w:r>
    </w:p>
    <w:p w14:paraId="36E2B55F">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highlight w:val="none"/>
          <w:lang w:val="en-US" w:eastAsia="zh-CN"/>
        </w:rPr>
      </w:pPr>
      <w:r>
        <w:rPr>
          <w:rFonts w:hint="eastAsia" w:ascii="宋体" w:hAnsi="宋体" w:eastAsia="宋体" w:cs="宋体"/>
          <w:bCs/>
          <w:kern w:val="0"/>
          <w:sz w:val="24"/>
          <w:szCs w:val="24"/>
          <w:highlight w:val="none"/>
          <w:lang w:val="en-US" w:eastAsia="zh-CN"/>
        </w:rPr>
        <w:t>付款条件说明：服务期结束，乙方应向甲方出具书面付款通知（注明开户行及账户信息）以及符合国家财税规定的增值税发票，达到付款条件起30日内，支付合同总金额的50.00%。</w:t>
      </w:r>
    </w:p>
    <w:p w14:paraId="38B69042">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kern w:val="0"/>
          <w:sz w:val="24"/>
          <w:szCs w:val="24"/>
          <w:highlight w:val="none"/>
          <w:lang w:val="en-US" w:eastAsia="zh-CN"/>
        </w:rPr>
        <w:t>付款条件说明：剩余总费用的10%，合同期满3个月后给予支付，乙方应向甲方出具书面付款通知（注明开户行及账户信息）以及符合国家财税规定的增值税发票，达到付款条件起30日内，支付合同总金额的10.00%。</w:t>
      </w:r>
    </w:p>
    <w:p w14:paraId="17191900">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2</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结算方式：银行转账。</w:t>
      </w:r>
    </w:p>
    <w:p w14:paraId="76825D8F">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第六条 </w:t>
      </w:r>
      <w:r>
        <w:rPr>
          <w:rFonts w:hint="eastAsia" w:ascii="宋体" w:hAnsi="宋体" w:eastAsia="宋体" w:cs="宋体"/>
          <w:b/>
          <w:bCs/>
          <w:kern w:val="0"/>
          <w:sz w:val="24"/>
          <w:szCs w:val="24"/>
        </w:rPr>
        <w:t>双方的权利和义务</w:t>
      </w:r>
    </w:p>
    <w:p w14:paraId="215B99A7">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（一）甲方的权利与义务</w:t>
      </w:r>
    </w:p>
    <w:p w14:paraId="2BAE71BB">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1.认真贯彻执行中、省、市、区的有关政策、规定，建立健全业务规范，督导检查并考核乙方履行职责情况；</w:t>
      </w:r>
    </w:p>
    <w:p w14:paraId="17BDB990">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2.根据辖区实际情况，在充分听取乙方意见和建议的基础上，提出辖区内医疗保障经办工作的调整意见；</w:t>
      </w:r>
    </w:p>
    <w:p w14:paraId="02CB8BA6">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3.实行管办分离，甲方负责监督和管理医保基金收支情况，确保基金的安全运行；</w:t>
      </w:r>
    </w:p>
    <w:p w14:paraId="4119E510">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4.甲方对乙方递交的医保支付基金审核数据，审核无误后，次月向医保协议定点医药机构拨款；</w:t>
      </w:r>
    </w:p>
    <w:p w14:paraId="0BF9EE82">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5.甲方及时向乙方提供经办业务相关的政策文件、报销依据。参保人数依据西安市统一的系统为准，甲方不再提供；</w:t>
      </w:r>
    </w:p>
    <w:p w14:paraId="2A731246">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6.甲方负责对乙方依据专业稽核团队检查提出的审定结果进行判定，乙方负责判定结果的执行；</w:t>
      </w:r>
    </w:p>
    <w:p w14:paraId="00CD6FC4">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7.甲方负责统筹安排两定机构医保定点合作协议签订、监督稽核工作，乙方按照甲方工作要求具体实施，并落实医疗机构编码、信息维护、协议监管、巡查等业务；</w:t>
      </w:r>
    </w:p>
    <w:p w14:paraId="1468327E">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8.甲方按照工作要求，要求乙方完成的各类支付数据、报表、报告、监督稽核结果，乙方需按时、准确无误上报；</w:t>
      </w:r>
    </w:p>
    <w:p w14:paraId="20AE68F3">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9.甲方为乙方提供相应的办公地点和服务窗口，其余办公用品及医保经办业务相关耗材由乙方自行承担。医保经办业务类公章由甲方授权乙方使用，乙方应保障印章使用的真实性、可靠性、安全性，乙方对因印章管理使用不善而造成的一切后果承担全部责任；</w:t>
      </w:r>
    </w:p>
    <w:p w14:paraId="2D154EB8">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10.因国家医保政策变化影响本区医保经办业务实施的，及时告知乙方。</w:t>
      </w:r>
    </w:p>
    <w:p w14:paraId="684ACCE9">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（二）乙方的权利与义务</w:t>
      </w:r>
    </w:p>
    <w:p w14:paraId="2FCDEB1F">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1.认真贯彻执行国家、省、市、区级等医疗保障相关政策及其相关文件精神，严格执行有关业务办理流程和要求。</w:t>
      </w:r>
    </w:p>
    <w:p w14:paraId="63019D9A">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2.乙方需按照甲方工作要求，协助推进全区三级医保经办服务体系建设工作，确保专人负责包抓街办、村（社区）级基层医保经办点位的设立挂牌、网络建设、人员培训、业务指导及后续相关工作开展；</w:t>
      </w:r>
    </w:p>
    <w:p w14:paraId="5FD70066">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3.乙方需按照甲方工作要求对接两定机构、街办、社区（村）等单位，协助督促落实乡村振兴、国家药品集采、医保编码、DRG支付方式改革、专项检查、专项宣传推广等相关工作，进行各项宣传、检查，按照要求完成乡村振兴工作台账、报表资料收集等工作；</w:t>
      </w:r>
    </w:p>
    <w:p w14:paraId="4BBE5C30">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4.乙方需建立医学专家在内的稽核检查团队协助开展日常两定机构监督检查工作，并主动接受甲方及甲方上级管理部门的业务指导与监督检查。对甲方发现工作中存在的问题，经沟通后及时整改到位，达到甲方要求的工作效果；</w:t>
      </w:r>
    </w:p>
    <w:p w14:paraId="0685AAD1">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5.乙方需明确经办工作管理流程和经办规章制度，要有明确的经办工作主要负责人、分管领导、人员职责、奖惩措施等内容，形成规范性制度文件向甲方备案。积极配合甲方完成医保政策宣传、培训相关工作，并制定与现执行医保政策法规相适应的管理措施；</w:t>
      </w:r>
    </w:p>
    <w:p w14:paraId="4503ECF5">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6.乙方需完成医疗保障工作涉及的数据统计分析、报表报送、线索核查、日常咨询、政策宣传培训、档案管理、投诉回复等工作，并定期对基金使用情况进行汇总、分析，书面告知甲方，由甲方协调处理；</w:t>
      </w:r>
    </w:p>
    <w:p w14:paraId="68352433">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7.乙方需列席甲方业务会议，及时向甲方及甲方管理部门报告服务办理运行情况及存在的问题，提出进一步加强和改进的合理化建议。对发现的各级定点医疗机构、定点药店在执行政策方面存在的问题，向甲方及有关部门及时上报，并提出合理化修改建议；</w:t>
      </w:r>
    </w:p>
    <w:p w14:paraId="3E460374">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8.乙方需按照医保智能审核监控系统和实地检查进一步加强审核环节的管理，要按照政策文件协助做好审核、稽核工作，要坚持公正、公平、公开的原则，及时受理和解决群众和医药机构反映的问题。对异地就医及非直通车业务结算必须进行100%审核，异地就医单次补偿金额较大的案件必须进行实地核查。若乙方在审核或调查过程中发现存疑案件，应及时反馈甲方，由甲方做出最终审核意见；</w:t>
      </w:r>
    </w:p>
    <w:p w14:paraId="14E1352C">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9.乙方负责协议年度内档案的保管工作，对业务档案进行整理、储存，并在协议期结束后移交甲方保管；</w:t>
      </w:r>
    </w:p>
    <w:p w14:paraId="4C92E38A">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10.乙方工作人员应主动热情地为办事群众、企业提供方便、快捷、优质的服务，并负责办理来电、来信、来访人员对医保、医疗救助等相关政策的咨询、投诉。</w:t>
      </w:r>
    </w:p>
    <w:p w14:paraId="692F416F">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第七条 </w:t>
      </w:r>
      <w:r>
        <w:rPr>
          <w:rFonts w:hint="eastAsia" w:ascii="宋体" w:hAnsi="宋体" w:eastAsia="宋体" w:cs="宋体"/>
          <w:b/>
          <w:bCs/>
          <w:kern w:val="0"/>
          <w:sz w:val="24"/>
          <w:szCs w:val="24"/>
        </w:rPr>
        <w:t>服务质量</w:t>
      </w:r>
    </w:p>
    <w:p w14:paraId="2F3F255E">
      <w:pPr>
        <w:keepNext w:val="0"/>
        <w:keepLines w:val="0"/>
        <w:pageBreakBefore w:val="0"/>
        <w:wordWrap/>
        <w:overflowPunct/>
        <w:topLinePunct w:val="0"/>
        <w:autoSpaceDE w:val="0"/>
        <w:autoSpaceDN w:val="0"/>
        <w:bidi w:val="0"/>
        <w:adjustRightInd w:val="0"/>
        <w:snapToGrid w:val="0"/>
        <w:spacing w:line="360" w:lineRule="auto"/>
        <w:ind w:firstLine="456" w:firstLineChars="200"/>
        <w:rPr>
          <w:rFonts w:hint="eastAsia" w:ascii="宋体" w:hAnsi="宋体" w:eastAsia="宋体" w:cs="宋体"/>
          <w:bCs/>
          <w:kern w:val="0"/>
          <w:sz w:val="24"/>
          <w:szCs w:val="24"/>
        </w:rPr>
      </w:pPr>
      <w:r>
        <w:rPr>
          <w:rFonts w:hint="eastAsia" w:ascii="宋体" w:hAnsi="宋体" w:eastAsia="宋体" w:cs="宋体"/>
          <w:bCs/>
          <w:spacing w:val="-6"/>
          <w:kern w:val="0"/>
          <w:sz w:val="24"/>
          <w:szCs w:val="24"/>
        </w:rPr>
        <w:t>1</w:t>
      </w:r>
      <w:r>
        <w:rPr>
          <w:rFonts w:hint="eastAsia" w:ascii="宋体" w:hAnsi="宋体" w:cs="宋体"/>
          <w:bCs/>
          <w:spacing w:val="-6"/>
          <w:kern w:val="0"/>
          <w:sz w:val="24"/>
          <w:szCs w:val="24"/>
          <w:lang w:val="en-US" w:eastAsia="zh-CN"/>
        </w:rPr>
        <w:t>.</w:t>
      </w:r>
      <w:r>
        <w:rPr>
          <w:rFonts w:hint="eastAsia" w:ascii="宋体" w:hAnsi="宋体" w:eastAsia="宋体" w:cs="宋体"/>
          <w:bCs/>
          <w:spacing w:val="-6"/>
          <w:kern w:val="0"/>
          <w:sz w:val="24"/>
          <w:szCs w:val="24"/>
        </w:rPr>
        <w:t>乙方需派一名项目负责人，直接与甲方沟通，项目负责人接收甲方提出的问题与要求，并及时反馈给工作组，解决在项目实施过程中遇到的问题。</w:t>
      </w:r>
    </w:p>
    <w:p w14:paraId="3B6E79C0">
      <w:pPr>
        <w:keepNext w:val="0"/>
        <w:keepLines w:val="0"/>
        <w:pageBreakBefore w:val="0"/>
        <w:wordWrap/>
        <w:overflowPunct/>
        <w:topLinePunct w:val="0"/>
        <w:autoSpaceDE w:val="0"/>
        <w:autoSpaceDN w:val="0"/>
        <w:bidi w:val="0"/>
        <w:adjustRightInd w:val="0"/>
        <w:snapToGrid w:val="0"/>
        <w:spacing w:line="360" w:lineRule="auto"/>
        <w:ind w:firstLine="482" w:firstLineChars="200"/>
        <w:rPr>
          <w:rFonts w:hint="eastAsia" w:ascii="宋体" w:hAnsi="宋体" w:eastAsia="宋体" w:cs="宋体"/>
          <w:bCs/>
          <w:kern w:val="0"/>
          <w:sz w:val="24"/>
          <w:szCs w:val="24"/>
        </w:rPr>
      </w:pP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3A7CA2AC">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项目在实施过程中会出现不可预料的需求变更，乙方需积极配合甲方的需求变更，并按照变更后的需求继续进行方案实施。</w:t>
      </w:r>
    </w:p>
    <w:p w14:paraId="6D649CF8">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color w:val="0000FF"/>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乙方需提交所有实施方案流程及说明文档。</w:t>
      </w:r>
    </w:p>
    <w:p w14:paraId="77442EF3">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 xml:space="preserve">第八条 </w:t>
      </w:r>
      <w:r>
        <w:rPr>
          <w:rFonts w:hint="eastAsia" w:ascii="宋体" w:hAnsi="宋体" w:eastAsia="宋体" w:cs="宋体"/>
          <w:b/>
          <w:bCs/>
          <w:kern w:val="0"/>
          <w:sz w:val="24"/>
          <w:szCs w:val="24"/>
          <w:lang w:val="zh-CN" w:eastAsia="zh-CN"/>
        </w:rPr>
        <w:t>知识产权</w:t>
      </w:r>
    </w:p>
    <w:p w14:paraId="2E884A9F">
      <w:pPr>
        <w:keepNext w:val="0"/>
        <w:keepLines w:val="0"/>
        <w:pageBreakBefore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6385E0CC">
      <w:pPr>
        <w:keepNext w:val="0"/>
        <w:keepLines w:val="0"/>
        <w:pageBreakBefore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1988BED7">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1112A65C">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
          <w:bCs/>
          <w:kern w:val="0"/>
          <w:sz w:val="24"/>
          <w:szCs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本合同条款的规定不因本合同的到期而失效。</w:t>
      </w:r>
    </w:p>
    <w:p w14:paraId="53716ABE">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第九条 验收</w:t>
      </w:r>
    </w:p>
    <w:p w14:paraId="2D56E8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14:paraId="25AD8CC2">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lang w:val="en-US" w:eastAsia="en-US"/>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bCs/>
          <w:kern w:val="0"/>
          <w:sz w:val="24"/>
          <w:szCs w:val="24"/>
          <w:lang w:val="en-US" w:eastAsia="en-US"/>
        </w:rPr>
        <w:t>按照国家、省、市、区的各项政策、文件规定执行，严格按照有关业务办理流程和要求做好相关工作，符合甲方要求。</w:t>
      </w:r>
    </w:p>
    <w:p w14:paraId="2D6F6A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kern w:val="0"/>
          <w:sz w:val="24"/>
          <w:szCs w:val="24"/>
          <w:lang w:val="en-US" w:eastAsia="en-US"/>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w:t>
      </w:r>
      <w:r>
        <w:rPr>
          <w:rFonts w:hint="eastAsia" w:ascii="宋体" w:hAnsi="宋体" w:eastAsia="宋体" w:cs="宋体"/>
          <w:color w:val="auto"/>
          <w:sz w:val="24"/>
          <w:highlight w:val="none"/>
          <w:lang w:val="en-US" w:eastAsia="zh-CN"/>
        </w:rPr>
        <w:t>单一来源采购</w:t>
      </w:r>
      <w:r>
        <w:rPr>
          <w:rFonts w:hint="eastAsia" w:ascii="宋体" w:hAnsi="宋体" w:eastAsia="宋体" w:cs="宋体"/>
          <w:color w:val="auto"/>
          <w:kern w:val="2"/>
          <w:sz w:val="24"/>
          <w:szCs w:val="24"/>
          <w:highlight w:val="none"/>
          <w:lang w:val="en-US" w:eastAsia="zh-CN" w:bidi="ar-SA"/>
        </w:rPr>
        <w:t>文件、成交供应商的响应文件、澄清文件和成交通知书的要求等,乙方应严格按照上述及采购人要求实施项目服务，甲方有权对乙方服务质量进行评估，当乙方出现较为严重的服务质量问题时，从乙方服务费中扣除合同总价的10%。</w:t>
      </w:r>
    </w:p>
    <w:p w14:paraId="1E6CF679">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val="en-US" w:eastAsia="zh-CN"/>
        </w:rPr>
        <w:t xml:space="preserve">第十条 </w:t>
      </w:r>
      <w:r>
        <w:rPr>
          <w:rFonts w:hint="eastAsia" w:ascii="宋体" w:hAnsi="宋体" w:eastAsia="宋体" w:cs="宋体"/>
          <w:b/>
          <w:bCs/>
          <w:kern w:val="0"/>
          <w:sz w:val="24"/>
          <w:szCs w:val="24"/>
          <w:lang w:eastAsia="zh-CN"/>
        </w:rPr>
        <w:t>违约责任</w:t>
      </w:r>
    </w:p>
    <w:p w14:paraId="11AF7260">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对因政策因素，造成医保基金透支，由甲方负责协调解决；</w:t>
      </w:r>
    </w:p>
    <w:p w14:paraId="54A2B999">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在合同履行中，乙方向甲方提供的支付依据应严格按照医保基金管理规定执行，乙方结算事项经审计提出或甲方发现等造成基金结算损失的，由乙方全权承担。由乙方对涉事工作人员进行处理，并向甲方赔偿该笔基金带来的损失；</w:t>
      </w:r>
    </w:p>
    <w:p w14:paraId="31ED69B2">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群众、机构及企业等办事对象投诉乙方所属工作人员推诿、刁难等服务态度恶劣、政策解释不清不全面或不及时、未按规定审核医疗费用等影响经办工作质量、效果、威信的现象，一经查实，乙方应及时纠正，给予相关人员批评教育，情节严重或影响恶劣的，乙方应严肃处理此工作人员直至解聘；</w:t>
      </w:r>
    </w:p>
    <w:p w14:paraId="6621FB31">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乙方所属工作人员对甲方的监督检查不积极配合或对甲方提出的问题不及时改正的，乙方应对责任人作出处理，并提出确切可行的整改计划，并将处理结果及整改计划报甲方；</w:t>
      </w:r>
    </w:p>
    <w:p w14:paraId="5EC48960">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5</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乙方针对审核中发现的侵占、挪用或采取弄虚作假手段套取、骗取医保基金的案件，未及时向甲方反馈，造成基金损失的，乙方承担相应赔偿责任，同时承担相应法律责任。</w:t>
      </w:r>
    </w:p>
    <w:p w14:paraId="02705325">
      <w:pPr>
        <w:pStyle w:val="3"/>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6.在医保基金的支付管理上，供应商提供的支付依据应严格按照医保基金管理规定执行，对违反规定支付结算费用带来的基金损失及责任，由供应商全权承担。</w:t>
      </w:r>
    </w:p>
    <w:p w14:paraId="3BC7C922">
      <w:pPr>
        <w:pStyle w:val="3"/>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kern w:val="0"/>
          <w:sz w:val="24"/>
          <w:szCs w:val="24"/>
        </w:rPr>
      </w:pPr>
      <w:r>
        <w:rPr>
          <w:rFonts w:hint="eastAsia" w:ascii="宋体" w:hAnsi="宋体" w:eastAsia="宋体" w:cs="宋体"/>
          <w:sz w:val="24"/>
          <w:szCs w:val="24"/>
          <w:lang w:val="en-US" w:eastAsia="zh-CN"/>
        </w:rPr>
        <w:t>7.供应商针对审核中发现的侵占、挪用或采取弄虚作假手段套取、骗取医保基金的案件，未及时向甲方反馈，造成基金损失的，供应商承担相应赔偿责任，同时承担相应法律责任。</w:t>
      </w:r>
    </w:p>
    <w:p w14:paraId="7E02D911">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lang w:val="en-US" w:eastAsia="zh-CN"/>
        </w:rPr>
        <w:t>8.</w:t>
      </w:r>
      <w:r>
        <w:rPr>
          <w:rFonts w:hint="eastAsia" w:ascii="宋体" w:hAnsi="宋体" w:eastAsia="宋体" w:cs="宋体"/>
          <w:bCs/>
          <w:kern w:val="0"/>
          <w:sz w:val="24"/>
          <w:szCs w:val="24"/>
        </w:rPr>
        <w:t>其它违约责任按《中华人民共和国民法典》处理。</w:t>
      </w:r>
    </w:p>
    <w:p w14:paraId="197C8FD1">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第十一条 </w:t>
      </w:r>
      <w:r>
        <w:rPr>
          <w:rFonts w:hint="eastAsia" w:ascii="宋体" w:hAnsi="宋体" w:eastAsia="宋体" w:cs="宋体"/>
          <w:b/>
          <w:bCs/>
          <w:kern w:val="0"/>
          <w:sz w:val="24"/>
          <w:szCs w:val="24"/>
        </w:rPr>
        <w:t>保密条款</w:t>
      </w:r>
    </w:p>
    <w:p w14:paraId="05704D2A">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甲乙双方均有责任对本合同内容保守秘密，对因协议内容的公开而造成经济和名誉损失，有责任的一方应该承担法律责任。</w:t>
      </w:r>
    </w:p>
    <w:p w14:paraId="0E595BC6">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.乙方在项目实施过程中接触或产生涉密数据的，应严格按《中华人民共和国保守国家秘密法》以及其他相关法律法规和制度执行。如由于乙方的原因而导致泄密的，乙方应承担相应法律责任。</w:t>
      </w:r>
    </w:p>
    <w:p w14:paraId="67449E86">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第十二条 </w:t>
      </w:r>
      <w:r>
        <w:rPr>
          <w:rFonts w:hint="eastAsia" w:ascii="宋体" w:hAnsi="宋体" w:eastAsia="宋体" w:cs="宋体"/>
          <w:b/>
          <w:bCs/>
          <w:kern w:val="0"/>
          <w:sz w:val="24"/>
          <w:szCs w:val="24"/>
        </w:rPr>
        <w:t>不可抗力情况下的免责约定</w:t>
      </w:r>
    </w:p>
    <w:p w14:paraId="647B97F2">
      <w:pPr>
        <w:pStyle w:val="6"/>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4CEF8A7F">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AE5F002">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cs="宋体"/>
          <w:b/>
          <w:bCs/>
          <w:kern w:val="0"/>
          <w:sz w:val="24"/>
          <w:szCs w:val="24"/>
          <w:lang w:val="en-US" w:eastAsia="zh-CN"/>
        </w:rPr>
        <w:t xml:space="preserve">第十三条 </w:t>
      </w:r>
      <w:r>
        <w:rPr>
          <w:rFonts w:hint="eastAsia" w:ascii="宋体" w:hAnsi="宋体" w:eastAsia="宋体" w:cs="宋体"/>
          <w:b/>
          <w:bCs/>
          <w:kern w:val="0"/>
          <w:sz w:val="24"/>
          <w:szCs w:val="24"/>
        </w:rPr>
        <w:t>合同争议解决的方式</w:t>
      </w:r>
    </w:p>
    <w:p w14:paraId="344D83D8">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合同执行中发生争议的，当事人双方应协商解决，协商达不成一致时，可向甲方所在地人民法院提请诉讼。</w:t>
      </w:r>
    </w:p>
    <w:p w14:paraId="7DB679C1">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第十四条 </w:t>
      </w:r>
      <w:r>
        <w:rPr>
          <w:rFonts w:hint="eastAsia" w:ascii="宋体" w:hAnsi="宋体" w:eastAsia="宋体" w:cs="宋体"/>
          <w:b/>
          <w:bCs/>
          <w:kern w:val="0"/>
          <w:sz w:val="24"/>
          <w:szCs w:val="24"/>
        </w:rPr>
        <w:t>合同生效</w:t>
      </w:r>
    </w:p>
    <w:p w14:paraId="7706A83C">
      <w:pPr>
        <w:keepNext w:val="0"/>
        <w:keepLines w:val="0"/>
        <w:pageBreakBefore w:val="0"/>
        <w:wordWrap/>
        <w:overflowPunct/>
        <w:topLinePunct w:val="0"/>
        <w:bidi w:val="0"/>
        <w:adjustRightInd w:val="0"/>
        <w:snapToGrid w:val="0"/>
        <w:spacing w:line="360" w:lineRule="auto"/>
        <w:ind w:firstLine="475" w:firstLineChars="198"/>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4D124342">
      <w:pPr>
        <w:keepNext w:val="0"/>
        <w:keepLines w:val="0"/>
        <w:pageBreakBefore w:val="0"/>
        <w:wordWrap/>
        <w:overflowPunct/>
        <w:topLinePunct w:val="0"/>
        <w:bidi w:val="0"/>
        <w:adjustRightInd w:val="0"/>
        <w:snapToGrid w:val="0"/>
        <w:spacing w:line="360" w:lineRule="auto"/>
        <w:ind w:firstLine="475" w:firstLineChars="198"/>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w:t>
      </w:r>
      <w:r>
        <w:rPr>
          <w:rFonts w:hint="eastAsia" w:ascii="宋体" w:hAnsi="宋体" w:eastAsia="宋体" w:cs="宋体"/>
          <w:kern w:val="0"/>
          <w:sz w:val="24"/>
          <w:szCs w:val="24"/>
        </w:rPr>
        <w:t>订立地点：</w:t>
      </w:r>
      <w:r>
        <w:rPr>
          <w:rFonts w:hint="eastAsia" w:ascii="宋体" w:hAnsi="宋体" w:eastAsia="宋体" w:cs="宋体"/>
          <w:kern w:val="0"/>
          <w:sz w:val="24"/>
          <w:szCs w:val="24"/>
          <w:u w:val="single"/>
        </w:rPr>
        <w:t xml:space="preserve"> 西安市  </w:t>
      </w:r>
      <w:r>
        <w:rPr>
          <w:rFonts w:hint="eastAsia" w:ascii="宋体" w:hAnsi="宋体" w:eastAsia="宋体" w:cs="宋体"/>
          <w:kern w:val="0"/>
          <w:sz w:val="24"/>
          <w:szCs w:val="24"/>
        </w:rPr>
        <w:t>。</w:t>
      </w:r>
    </w:p>
    <w:p w14:paraId="6AB47A74">
      <w:pPr>
        <w:keepNext w:val="0"/>
        <w:keepLines w:val="0"/>
        <w:pageBreakBefore w:val="0"/>
        <w:wordWrap/>
        <w:overflowPunct/>
        <w:topLinePunct w:val="0"/>
        <w:bidi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cs="宋体"/>
          <w:kern w:val="0"/>
          <w:sz w:val="24"/>
          <w:szCs w:val="24"/>
          <w:lang w:val="en-US" w:eastAsia="zh-CN"/>
        </w:rPr>
        <w:t>.</w:t>
      </w:r>
      <w:r>
        <w:rPr>
          <w:rFonts w:hint="eastAsia" w:ascii="宋体" w:hAnsi="宋体" w:eastAsia="宋体" w:cs="宋体"/>
          <w:kern w:val="0"/>
          <w:sz w:val="24"/>
          <w:szCs w:val="24"/>
        </w:rPr>
        <w:t>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份，具有同等法律效力，甲方执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份，乙方执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份。各方签字盖章后生效，合同执行完毕自动失效。</w:t>
      </w:r>
    </w:p>
    <w:p w14:paraId="45564F5C">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第十五条 </w:t>
      </w:r>
      <w:r>
        <w:rPr>
          <w:rFonts w:hint="eastAsia" w:ascii="宋体" w:hAnsi="宋体" w:eastAsia="宋体" w:cs="宋体"/>
          <w:b/>
          <w:bCs/>
          <w:kern w:val="0"/>
          <w:sz w:val="24"/>
          <w:szCs w:val="24"/>
        </w:rPr>
        <w:t>其他</w:t>
      </w:r>
      <w:r>
        <w:rPr>
          <w:rFonts w:hint="eastAsia" w:ascii="宋体" w:hAnsi="宋体" w:eastAsia="宋体" w:cs="宋体"/>
          <w:kern w:val="0"/>
          <w:sz w:val="24"/>
          <w:szCs w:val="24"/>
        </w:rPr>
        <w:t>（在合同签订时具体明确）</w:t>
      </w:r>
    </w:p>
    <w:tbl>
      <w:tblPr>
        <w:tblStyle w:val="4"/>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25FFA97E">
        <w:tblPrEx>
          <w:tblCellMar>
            <w:top w:w="0" w:type="dxa"/>
            <w:left w:w="108" w:type="dxa"/>
            <w:bottom w:w="0" w:type="dxa"/>
            <w:right w:w="108" w:type="dxa"/>
          </w:tblCellMar>
        </w:tblPrEx>
        <w:trPr>
          <w:trHeight w:val="454" w:hRule="atLeast"/>
        </w:trPr>
        <w:tc>
          <w:tcPr>
            <w:tcW w:w="4201" w:type="dxa"/>
            <w:vAlign w:val="center"/>
          </w:tcPr>
          <w:p w14:paraId="1231A532">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hAnsi="宋体" w:cs="宋体"/>
                <w:sz w:val="24"/>
              </w:rPr>
            </w:pPr>
            <w:r>
              <w:rPr>
                <w:rFonts w:hint="eastAsia" w:ascii="宋体" w:hAnsi="宋体" w:cs="宋体"/>
                <w:sz w:val="24"/>
              </w:rPr>
              <w:t>地址：</w:t>
            </w:r>
            <w:r>
              <w:rPr>
                <w:rFonts w:hint="default" w:ascii="宋体" w:hAnsi="宋体" w:cs="宋体"/>
                <w:sz w:val="24"/>
              </w:rPr>
              <w:t xml:space="preserve"> </w:t>
            </w:r>
          </w:p>
        </w:tc>
        <w:tc>
          <w:tcPr>
            <w:tcW w:w="4202" w:type="dxa"/>
            <w:vAlign w:val="center"/>
          </w:tcPr>
          <w:p w14:paraId="1A356013">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地址：</w:t>
            </w:r>
          </w:p>
        </w:tc>
      </w:tr>
      <w:tr w14:paraId="2BBEBE11">
        <w:tblPrEx>
          <w:tblCellMar>
            <w:top w:w="0" w:type="dxa"/>
            <w:left w:w="108" w:type="dxa"/>
            <w:bottom w:w="0" w:type="dxa"/>
            <w:right w:w="108" w:type="dxa"/>
          </w:tblCellMar>
        </w:tblPrEx>
        <w:trPr>
          <w:trHeight w:val="454" w:hRule="atLeast"/>
        </w:trPr>
        <w:tc>
          <w:tcPr>
            <w:tcW w:w="4201" w:type="dxa"/>
            <w:vAlign w:val="center"/>
          </w:tcPr>
          <w:p w14:paraId="4C6DE4CE">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邮编：</w:t>
            </w:r>
          </w:p>
        </w:tc>
        <w:tc>
          <w:tcPr>
            <w:tcW w:w="4202" w:type="dxa"/>
            <w:vAlign w:val="center"/>
          </w:tcPr>
          <w:p w14:paraId="55199546">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邮编：</w:t>
            </w:r>
          </w:p>
        </w:tc>
      </w:tr>
      <w:tr w14:paraId="328C8FD6">
        <w:tblPrEx>
          <w:tblCellMar>
            <w:top w:w="0" w:type="dxa"/>
            <w:left w:w="108" w:type="dxa"/>
            <w:bottom w:w="0" w:type="dxa"/>
            <w:right w:w="108" w:type="dxa"/>
          </w:tblCellMar>
        </w:tblPrEx>
        <w:trPr>
          <w:trHeight w:val="454" w:hRule="atLeast"/>
        </w:trPr>
        <w:tc>
          <w:tcPr>
            <w:tcW w:w="4201" w:type="dxa"/>
            <w:vAlign w:val="center"/>
          </w:tcPr>
          <w:p w14:paraId="65F84514">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hAnsi="宋体" w:cs="宋体"/>
                <w:sz w:val="24"/>
              </w:rPr>
            </w:pPr>
            <w:r>
              <w:rPr>
                <w:rFonts w:hint="eastAsia" w:ascii="宋体" w:hAnsi="宋体" w:cs="宋体"/>
                <w:sz w:val="24"/>
              </w:rPr>
              <w:t>法定代表人：</w:t>
            </w:r>
            <w:r>
              <w:rPr>
                <w:rFonts w:hint="default" w:ascii="宋体" w:hAnsi="宋体" w:cs="宋体"/>
                <w:sz w:val="24"/>
              </w:rPr>
              <w:t xml:space="preserve"> </w:t>
            </w:r>
          </w:p>
        </w:tc>
        <w:tc>
          <w:tcPr>
            <w:tcW w:w="4202" w:type="dxa"/>
            <w:vAlign w:val="center"/>
          </w:tcPr>
          <w:p w14:paraId="3194178B">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法定代表人</w:t>
            </w:r>
            <w:r>
              <w:rPr>
                <w:rFonts w:hint="eastAsia" w:ascii="宋体" w:hAnsi="宋体" w:eastAsia="宋体" w:cs="宋体"/>
                <w:sz w:val="24"/>
                <w:lang w:eastAsia="zh-CN"/>
              </w:rPr>
              <w:t>（</w:t>
            </w:r>
            <w:r>
              <w:rPr>
                <w:rFonts w:hint="eastAsia" w:ascii="宋体" w:hAnsi="宋体" w:eastAsia="宋体" w:cs="宋体"/>
                <w:sz w:val="24"/>
                <w:lang w:val="en-US" w:eastAsia="zh-CN"/>
              </w:rPr>
              <w:t>负责人）</w:t>
            </w:r>
            <w:r>
              <w:rPr>
                <w:rFonts w:hint="eastAsia" w:ascii="宋体" w:hAnsi="宋体" w:cs="宋体"/>
                <w:sz w:val="24"/>
              </w:rPr>
              <w:t>：</w:t>
            </w:r>
          </w:p>
        </w:tc>
      </w:tr>
      <w:tr w14:paraId="47A00F00">
        <w:tblPrEx>
          <w:tblCellMar>
            <w:top w:w="0" w:type="dxa"/>
            <w:left w:w="108" w:type="dxa"/>
            <w:bottom w:w="0" w:type="dxa"/>
            <w:right w:w="108" w:type="dxa"/>
          </w:tblCellMar>
        </w:tblPrEx>
        <w:trPr>
          <w:trHeight w:val="454" w:hRule="atLeast"/>
        </w:trPr>
        <w:tc>
          <w:tcPr>
            <w:tcW w:w="4201" w:type="dxa"/>
            <w:vAlign w:val="center"/>
          </w:tcPr>
          <w:p w14:paraId="29D2BE8A">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委托代理人：</w:t>
            </w:r>
          </w:p>
        </w:tc>
        <w:tc>
          <w:tcPr>
            <w:tcW w:w="4202" w:type="dxa"/>
            <w:vAlign w:val="center"/>
          </w:tcPr>
          <w:p w14:paraId="23CC4491">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委托代理人：</w:t>
            </w:r>
          </w:p>
        </w:tc>
      </w:tr>
      <w:tr w14:paraId="5E49CA19">
        <w:tblPrEx>
          <w:tblCellMar>
            <w:top w:w="0" w:type="dxa"/>
            <w:left w:w="108" w:type="dxa"/>
            <w:bottom w:w="0" w:type="dxa"/>
            <w:right w:w="108" w:type="dxa"/>
          </w:tblCellMar>
        </w:tblPrEx>
        <w:trPr>
          <w:trHeight w:val="454" w:hRule="atLeast"/>
        </w:trPr>
        <w:tc>
          <w:tcPr>
            <w:tcW w:w="4201" w:type="dxa"/>
            <w:vAlign w:val="center"/>
          </w:tcPr>
          <w:p w14:paraId="1948D240">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电话：</w:t>
            </w:r>
          </w:p>
        </w:tc>
        <w:tc>
          <w:tcPr>
            <w:tcW w:w="4202" w:type="dxa"/>
            <w:vAlign w:val="center"/>
          </w:tcPr>
          <w:p w14:paraId="6267A4A2">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电话：</w:t>
            </w:r>
          </w:p>
        </w:tc>
      </w:tr>
      <w:tr w14:paraId="51503465">
        <w:tblPrEx>
          <w:tblCellMar>
            <w:top w:w="0" w:type="dxa"/>
            <w:left w:w="108" w:type="dxa"/>
            <w:bottom w:w="0" w:type="dxa"/>
            <w:right w:w="108" w:type="dxa"/>
          </w:tblCellMar>
        </w:tblPrEx>
        <w:trPr>
          <w:trHeight w:val="454" w:hRule="atLeast"/>
        </w:trPr>
        <w:tc>
          <w:tcPr>
            <w:tcW w:w="4201" w:type="dxa"/>
            <w:vAlign w:val="center"/>
          </w:tcPr>
          <w:p w14:paraId="57D989CF">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传真：</w:t>
            </w:r>
          </w:p>
        </w:tc>
        <w:tc>
          <w:tcPr>
            <w:tcW w:w="4202" w:type="dxa"/>
            <w:vAlign w:val="center"/>
          </w:tcPr>
          <w:p w14:paraId="44D63BE4">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传真：</w:t>
            </w:r>
          </w:p>
        </w:tc>
      </w:tr>
      <w:tr w14:paraId="4479FB4C">
        <w:tblPrEx>
          <w:tblCellMar>
            <w:top w:w="0" w:type="dxa"/>
            <w:left w:w="108" w:type="dxa"/>
            <w:bottom w:w="0" w:type="dxa"/>
            <w:right w:w="108" w:type="dxa"/>
          </w:tblCellMar>
        </w:tblPrEx>
        <w:trPr>
          <w:trHeight w:val="454" w:hRule="atLeast"/>
        </w:trPr>
        <w:tc>
          <w:tcPr>
            <w:tcW w:w="4201" w:type="dxa"/>
            <w:vAlign w:val="center"/>
          </w:tcPr>
          <w:p w14:paraId="3CAEE216">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开户银行：</w:t>
            </w:r>
          </w:p>
        </w:tc>
        <w:tc>
          <w:tcPr>
            <w:tcW w:w="4202" w:type="dxa"/>
            <w:vAlign w:val="center"/>
          </w:tcPr>
          <w:p w14:paraId="14AB756F">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开户银行：</w:t>
            </w:r>
          </w:p>
        </w:tc>
      </w:tr>
      <w:tr w14:paraId="7D8D307B">
        <w:tblPrEx>
          <w:tblCellMar>
            <w:top w:w="0" w:type="dxa"/>
            <w:left w:w="108" w:type="dxa"/>
            <w:bottom w:w="0" w:type="dxa"/>
            <w:right w:w="108" w:type="dxa"/>
          </w:tblCellMar>
        </w:tblPrEx>
        <w:trPr>
          <w:trHeight w:val="454" w:hRule="atLeast"/>
        </w:trPr>
        <w:tc>
          <w:tcPr>
            <w:tcW w:w="4201" w:type="dxa"/>
            <w:vAlign w:val="center"/>
          </w:tcPr>
          <w:p w14:paraId="1B7033C6">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日期：</w:t>
            </w:r>
          </w:p>
        </w:tc>
        <w:tc>
          <w:tcPr>
            <w:tcW w:w="4202" w:type="dxa"/>
            <w:vAlign w:val="center"/>
          </w:tcPr>
          <w:p w14:paraId="6EDD50D7">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日期：</w:t>
            </w:r>
          </w:p>
        </w:tc>
      </w:tr>
    </w:tbl>
    <w:p w14:paraId="57AD4DD6">
      <w:pPr>
        <w:rPr>
          <w:b/>
          <w:bC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45600"/>
    <w:rsid w:val="53045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unhideWhenUsed/>
    <w:qFormat/>
    <w:uiPriority w:val="0"/>
    <w:pPr>
      <w:keepNext/>
      <w:keepLines/>
      <w:spacing w:before="120" w:after="120"/>
      <w:outlineLvl w:val="3"/>
    </w:pPr>
    <w:rPr>
      <w:rFonts w:ascii="宋体" w:hAnsi="宋体" w:eastAsia="宋体"/>
      <w:b/>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customStyle="1" w:styleId="6">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2025-12-26T02:03:00Z</dcterms:created>
  <dc:creator>YIN</dc:creator>
  <cp:lastModifiedBy>YIN</cp:lastModifiedBy>
  <dcterms:modified xsi:type="dcterms:W3CDTF">2025-12-26T02:03:56Z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B1AF844AC8834052870380F5E1642370_11</vt:lpwstr>
  </property>
  <property fmtid="{D5CDD505-2E9C-101B-9397-08002B2CF9AE}" pid="4" name="KSOTemplateDocerSaveRecord">
    <vt:lpwstr>eyJoZGlkIjoiMjA4OWRlZGM1ODAwNDJhMTNmNjUzY2IwODY1ZTNjNjIiLCJ1c2VySWQiOiIyODQ1NzA0OTAifQ==</vt:lpwstr>
  </property>
</Properties>
</file>