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版本号：HSGJ2025-23420251211001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滨水花城社区卫生服务中心项目用房租赁</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HSGJ2025-234</w:t>
      </w:r>
      <w:r>
        <w:br/>
      </w:r>
      <w:r>
        <w:br/>
      </w:r>
      <w:r>
        <w:br/>
      </w:r>
    </w:p>
    <w:p>
      <w:pPr>
        <w:pStyle w:val="null3"/>
        <w:jc w:val="center"/>
        <w:outlineLvl w:val="5"/>
      </w:pPr>
      <w:r>
        <w:rPr>
          <w:rFonts w:ascii="仿宋_GB2312" w:hAnsi="仿宋_GB2312" w:cs="仿宋_GB2312" w:eastAsia="仿宋_GB2312"/>
          <w:sz w:val="15"/>
          <w:b/>
        </w:rPr>
        <w:t>西安浐灞国际港公共服务局</w:t>
      </w:r>
    </w:p>
    <w:p>
      <w:pPr>
        <w:pStyle w:val="null3"/>
        <w:jc w:val="center"/>
        <w:outlineLvl w:val="5"/>
      </w:pPr>
      <w:r>
        <w:rPr>
          <w:rFonts w:ascii="仿宋_GB2312" w:hAnsi="仿宋_GB2312" w:cs="仿宋_GB2312" w:eastAsia="仿宋_GB2312"/>
          <w:sz w:val="15"/>
          <w:b/>
        </w:rPr>
        <w:t>华晟国际项目管理有限公司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西安浐灞国际港公共服务局</w:t>
      </w:r>
      <w:r>
        <w:rPr>
          <w:rFonts w:ascii="仿宋_GB2312" w:hAnsi="仿宋_GB2312" w:cs="仿宋_GB2312" w:eastAsia="仿宋_GB2312"/>
        </w:rPr>
        <w:t>委托，拟对</w:t>
      </w:r>
      <w:r>
        <w:rPr>
          <w:rFonts w:ascii="仿宋_GB2312" w:hAnsi="仿宋_GB2312" w:cs="仿宋_GB2312" w:eastAsia="仿宋_GB2312"/>
        </w:rPr>
        <w:t>滨水花城社区卫生服务中心项目用房租赁</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HSGJ2025-234</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滨水花城社区卫生服务中心项目用房租赁</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西安浐灞国际港滨水花城小区商铺1-2楼部分区域，建筑面积3002.01㎡。具体采购内容详见第三章。</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2、财务状况报告：提供2024年度的财务审计报告或开标前六个月内其基本存款账户开户银行出具的资信证明（附开户许可证或开户备案证明或基本账户信息）；</w:t>
      </w:r>
    </w:p>
    <w:p>
      <w:pPr>
        <w:pStyle w:val="null3"/>
      </w:pPr>
      <w:r>
        <w:rPr>
          <w:rFonts w:ascii="仿宋_GB2312" w:hAnsi="仿宋_GB2312" w:cs="仿宋_GB2312" w:eastAsia="仿宋_GB2312"/>
        </w:rPr>
        <w:t>3、税收缴纳证明：提供2025年01月01日至今已缴存的至少一个月的纳税证明或完税证明，依法免税的单位应提供相关证明材料；</w:t>
      </w:r>
    </w:p>
    <w:p>
      <w:pPr>
        <w:pStyle w:val="null3"/>
      </w:pPr>
      <w:r>
        <w:rPr>
          <w:rFonts w:ascii="仿宋_GB2312" w:hAnsi="仿宋_GB2312" w:cs="仿宋_GB2312" w:eastAsia="仿宋_GB2312"/>
        </w:rPr>
        <w:t>4、社会保障资金缴纳证明：提供2025年01月01日至今已缴存的至少一个月的社会保障资金缴存单据或社保机构开具的社会保险参保缴费情况证明，依法不需要缴纳社会保障资金的单位应提供相关证明材料；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5、无重大违法记录声明：近3年内在经营活动中没有重大违法记录的书面声明；</w:t>
      </w:r>
    </w:p>
    <w:p>
      <w:pPr>
        <w:pStyle w:val="null3"/>
      </w:pPr>
      <w:r>
        <w:rPr>
          <w:rFonts w:ascii="仿宋_GB2312" w:hAnsi="仿宋_GB2312" w:cs="仿宋_GB2312" w:eastAsia="仿宋_GB2312"/>
        </w:rPr>
        <w:t>6、专业技术能力证明：具备履行合同所必需的设备和专业技术能力的证明材料(由供应商根据项目需求提供说明材料或者承诺)；</w:t>
      </w:r>
    </w:p>
    <w:p>
      <w:pPr>
        <w:pStyle w:val="null3"/>
      </w:pPr>
      <w:r>
        <w:rPr>
          <w:rFonts w:ascii="仿宋_GB2312" w:hAnsi="仿宋_GB2312" w:cs="仿宋_GB2312" w:eastAsia="仿宋_GB2312"/>
        </w:rPr>
        <w:t>7、法定代表人（负责人）委托授权书\身份证明：供应商应授权合法的人员参加单一来源采购全过程，其中法定代表人（负责人）直接参加单一来源采购的，须出具法定代表人（负责人）身份证，并与营业执照上信息一致。法定代表人（负责人）授权代表参加单一来源采购的，须出具法定代表人（负责人）授权书及授权代表身份证；</w:t>
      </w:r>
    </w:p>
    <w:p>
      <w:pPr>
        <w:pStyle w:val="null3"/>
      </w:pPr>
      <w:r>
        <w:rPr>
          <w:rFonts w:ascii="仿宋_GB2312" w:hAnsi="仿宋_GB2312" w:cs="仿宋_GB2312" w:eastAsia="仿宋_GB2312"/>
        </w:rPr>
        <w:t>8、信用查询：在“信用中国”网站（www.creditchina.gov.cn）和“中国政府采购网”（ccgp.gov.cn）对响应单位信用信息进行查询，如果响应单位被查实在开标前已列入失信被执行人、重大税收违法失信主体、政府采购严重违法失信行为记录名单，其响应为无效；</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西安浐灞国际港公共服务局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颉睿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029-88076626</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曹美奇、杨阳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029-81779899转8013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采购包1：5,673,798.90元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采购包1：5,673,798.90元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代理服务费收费标准：按照国家计委颁布的《招标代理服务收费管理暂行办法》（计价格『2002』1980号）及发改办价格『2003』857号文规定按服务类收取代理服务费。 银行户名：华晟国际项目管理有限公司 开户银行：建设银行西安劳动路支行 账 号：610501 740015 00000 427 转账事由：HSGJ2025-234项目代理服务费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西安浐灞国际港公共服务局</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西安浐灞国际港公共服务局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符合国家相关规定及标准，详见合同。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西安浐灞国际港滨水花城小区商铺1-2楼部分区域，建筑面积3002.01㎡。具体采购内容详见第三章。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5,673,798.90</w:t>
      </w:r>
    </w:p>
    <w:p>
      <w:pPr>
        <w:pStyle w:val="null3"/>
      </w:pPr>
      <w:r>
        <w:rPr>
          <w:rFonts w:ascii="仿宋_GB2312" w:hAnsi="仿宋_GB2312" w:cs="仿宋_GB2312" w:eastAsia="仿宋_GB2312"/>
        </w:rPr>
        <w:t>采购包最高限价（元）: 5,673,798.90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滨水花城社区卫生服务中心项目用房租赁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5,673,798.90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标的名称：滨水花城社区卫生服务中心项目用房租赁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一、项目概况</w:t>
            </w:r>
          </w:p>
          <w:p>
            <w:pPr>
              <w:pStyle w:val="null3"/>
              <w:ind w:firstLine="480"/>
            </w:pPr>
            <w:r>
              <w:rPr>
                <w:rFonts w:ascii="仿宋_GB2312" w:hAnsi="仿宋_GB2312" w:cs="仿宋_GB2312" w:eastAsia="仿宋_GB2312"/>
                <w:sz w:val="24"/>
                <w:color w:val="000000"/>
              </w:rPr>
              <w:t>滨水花城社区卫生服务中心办公用房，为保证</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中心运营，拟通过单一来源方式进行办公用房租赁采购，地址位于西安浐灞国际港滨水花城小区商铺</w:t>
            </w:r>
            <w:r>
              <w:rPr>
                <w:rFonts w:ascii="仿宋_GB2312" w:hAnsi="仿宋_GB2312" w:cs="仿宋_GB2312" w:eastAsia="仿宋_GB2312"/>
                <w:sz w:val="24"/>
                <w:color w:val="000000"/>
              </w:rPr>
              <w:t>1-2楼部分区域，建筑面积3002.01㎡。</w:t>
            </w:r>
          </w:p>
          <w:p>
            <w:pPr>
              <w:pStyle w:val="null3"/>
            </w:pPr>
            <w:r>
              <w:rPr>
                <w:rFonts w:ascii="仿宋_GB2312" w:hAnsi="仿宋_GB2312" w:cs="仿宋_GB2312" w:eastAsia="仿宋_GB2312"/>
                <w:sz w:val="24"/>
                <w:b/>
                <w:color w:val="000000"/>
              </w:rPr>
              <w:t>二、采购</w:t>
            </w:r>
            <w:r>
              <w:rPr>
                <w:rFonts w:ascii="仿宋_GB2312" w:hAnsi="仿宋_GB2312" w:cs="仿宋_GB2312" w:eastAsia="仿宋_GB2312"/>
                <w:sz w:val="24"/>
                <w:b/>
                <w:color w:val="000000"/>
              </w:rPr>
              <w:t>内容</w:t>
            </w:r>
          </w:p>
          <w:p>
            <w:pPr>
              <w:pStyle w:val="null3"/>
              <w:ind w:firstLine="480"/>
            </w:pPr>
            <w:r>
              <w:rPr>
                <w:rFonts w:ascii="仿宋_GB2312" w:hAnsi="仿宋_GB2312" w:cs="仿宋_GB2312" w:eastAsia="仿宋_GB2312"/>
                <w:sz w:val="24"/>
                <w:color w:val="000000"/>
              </w:rPr>
              <w:t>西安浐灞国际港滨水花城小区商铺</w:t>
            </w:r>
            <w:r>
              <w:rPr>
                <w:rFonts w:ascii="仿宋_GB2312" w:hAnsi="仿宋_GB2312" w:cs="仿宋_GB2312" w:eastAsia="仿宋_GB2312"/>
                <w:sz w:val="24"/>
                <w:color w:val="000000"/>
              </w:rPr>
              <w:t>1-2楼部分区域，建筑面积3002.01㎡。</w:t>
            </w:r>
          </w:p>
          <w:p>
            <w:pPr>
              <w:pStyle w:val="null3"/>
            </w:pPr>
            <w:r>
              <w:rPr>
                <w:rFonts w:ascii="仿宋_GB2312" w:hAnsi="仿宋_GB2312" w:cs="仿宋_GB2312" w:eastAsia="仿宋_GB2312"/>
                <w:sz w:val="24"/>
                <w:b/>
                <w:color w:val="000000"/>
              </w:rPr>
              <w:t>三、服务要求</w:t>
            </w:r>
          </w:p>
          <w:p>
            <w:pPr>
              <w:pStyle w:val="null3"/>
              <w:ind w:firstLine="480"/>
            </w:pPr>
            <w:r>
              <w:rPr>
                <w:rFonts w:ascii="仿宋_GB2312" w:hAnsi="仿宋_GB2312" w:cs="仿宋_GB2312" w:eastAsia="仿宋_GB2312"/>
                <w:sz w:val="24"/>
                <w:color w:val="000000"/>
              </w:rPr>
              <w:t>1、出租方应保证租赁物的建筑结构、设备设施和规划用途以及建筑、消防、水电、排水、排污等配套设施符合承租方使用条件。</w:t>
            </w:r>
          </w:p>
          <w:p>
            <w:pPr>
              <w:pStyle w:val="null3"/>
              <w:ind w:firstLine="480"/>
            </w:pPr>
            <w:r>
              <w:rPr>
                <w:rFonts w:ascii="仿宋_GB2312" w:hAnsi="仿宋_GB2312" w:cs="仿宋_GB2312" w:eastAsia="仿宋_GB2312"/>
                <w:sz w:val="24"/>
                <w:color w:val="000000"/>
              </w:rPr>
              <w:t>2、出租方交付租赁物，同时开始提供租赁物供水、供电等相关配套服务。应定期检查保养租赁物及其附属设施设备，确保租赁物及其设施设备处于良好运行状态。</w:t>
            </w:r>
          </w:p>
          <w:p>
            <w:pPr>
              <w:pStyle w:val="null3"/>
              <w:ind w:firstLine="480"/>
            </w:pPr>
            <w:r>
              <w:rPr>
                <w:rFonts w:ascii="仿宋_GB2312" w:hAnsi="仿宋_GB2312" w:cs="仿宋_GB2312" w:eastAsia="仿宋_GB2312"/>
                <w:sz w:val="24"/>
                <w:color w:val="000000"/>
              </w:rPr>
              <w:t>3、采购人在租赁期限内正常使用房屋，如出现房屋质量问题，出租方应及时进行修缮予以解决，并承担相应的责任。同时做好租赁期限内的应急管理工作。</w:t>
            </w:r>
          </w:p>
          <w:p>
            <w:pPr>
              <w:pStyle w:val="null3"/>
              <w:ind w:firstLine="480"/>
            </w:pPr>
            <w:r>
              <w:rPr>
                <w:rFonts w:ascii="仿宋_GB2312" w:hAnsi="仿宋_GB2312" w:cs="仿宋_GB2312" w:eastAsia="仿宋_GB2312"/>
                <w:sz w:val="24"/>
                <w:color w:val="000000"/>
              </w:rPr>
              <w:t>4、出租方对房屋及其设备应定期检查，及时修缮。</w:t>
            </w:r>
          </w:p>
          <w:p>
            <w:pPr>
              <w:pStyle w:val="null3"/>
              <w:ind w:firstLine="480"/>
            </w:pPr>
            <w:r>
              <w:rPr>
                <w:rFonts w:ascii="仿宋_GB2312" w:hAnsi="仿宋_GB2312" w:cs="仿宋_GB2312" w:eastAsia="仿宋_GB2312"/>
                <w:sz w:val="24"/>
                <w:color w:val="000000"/>
              </w:rPr>
              <w:t>5、出租方保证出租的房屋没有产权纠纷、债权债务纠纷。因出租方原因，造成出租房屋发生产权、债权债务的，则由出租方承担全部责任，出租方应立即排除妨碍，如影响采购人使用或给采购人造成损失的，由出租方给予赔偿，范围包括给采购人造成的实际损失、可预期利益，以及采购人因维权所产生的全部相关费用。</w:t>
            </w:r>
          </w:p>
          <w:p>
            <w:pPr>
              <w:pStyle w:val="null3"/>
              <w:ind w:firstLine="480"/>
            </w:pPr>
            <w:r>
              <w:rPr>
                <w:rFonts w:ascii="仿宋_GB2312" w:hAnsi="仿宋_GB2312" w:cs="仿宋_GB2312" w:eastAsia="仿宋_GB2312"/>
                <w:sz w:val="24"/>
                <w:color w:val="000000"/>
              </w:rPr>
              <w:t>6、在房屋出租前、合同存续期间不允许出租方将房屋作为抵押贷款，否则采购人有权终止合同，并对出租方违约行为进行追究，同时按《中华人民共和国政府采购法》的有关规定进行处罚。</w:t>
            </w:r>
          </w:p>
          <w:p>
            <w:pPr>
              <w:pStyle w:val="null3"/>
            </w:pPr>
            <w:r>
              <w:rPr>
                <w:rFonts w:ascii="仿宋_GB2312" w:hAnsi="仿宋_GB2312" w:cs="仿宋_GB2312" w:eastAsia="仿宋_GB2312"/>
                <w:sz w:val="24"/>
                <w:b/>
                <w:color w:val="000000"/>
              </w:rPr>
              <w:t>四、商务要求</w:t>
            </w:r>
          </w:p>
          <w:p>
            <w:pPr>
              <w:pStyle w:val="null3"/>
              <w:ind w:firstLine="480"/>
            </w:pPr>
            <w:r>
              <w:rPr>
                <w:rFonts w:ascii="仿宋_GB2312" w:hAnsi="仿宋_GB2312" w:cs="仿宋_GB2312" w:eastAsia="仿宋_GB2312"/>
                <w:sz w:val="24"/>
                <w:color w:val="000000"/>
              </w:rPr>
              <w:t>1、服务期限:三年</w:t>
            </w:r>
          </w:p>
          <w:p>
            <w:pPr>
              <w:pStyle w:val="null3"/>
              <w:ind w:firstLine="480"/>
            </w:pPr>
            <w:r>
              <w:rPr>
                <w:rFonts w:ascii="仿宋_GB2312" w:hAnsi="仿宋_GB2312" w:cs="仿宋_GB2312" w:eastAsia="仿宋_GB2312"/>
                <w:sz w:val="24"/>
                <w:color w:val="000000"/>
              </w:rPr>
              <w:t>2、款项结算:合同签订后30日内支付首年度租金，之后每年度租金提前一个月支付，付款前出租方提供正式发票。</w:t>
            </w:r>
          </w:p>
          <w:p>
            <w:pPr>
              <w:pStyle w:val="null3"/>
              <w:ind w:firstLine="480"/>
            </w:pPr>
            <w:r>
              <w:rPr>
                <w:rFonts w:ascii="仿宋_GB2312" w:hAnsi="仿宋_GB2312" w:cs="仿宋_GB2312" w:eastAsia="仿宋_GB2312"/>
                <w:sz w:val="24"/>
                <w:color w:val="000000"/>
              </w:rPr>
              <w:t>3、支付方式:银行转账。</w:t>
            </w:r>
          </w:p>
          <w:p>
            <w:pPr>
              <w:pStyle w:val="null3"/>
            </w:pPr>
            <w:r>
              <w:rPr>
                <w:rFonts w:ascii="仿宋_GB2312" w:hAnsi="仿宋_GB2312" w:cs="仿宋_GB2312" w:eastAsia="仿宋_GB2312"/>
                <w:sz w:val="24"/>
                <w:b/>
                <w:color w:val="000000"/>
              </w:rPr>
              <w:t>五、其他</w:t>
            </w:r>
          </w:p>
          <w:p>
            <w:pPr>
              <w:pStyle w:val="null3"/>
            </w:pPr>
            <w:r>
              <w:rPr>
                <w:rFonts w:ascii="仿宋_GB2312" w:hAnsi="仿宋_GB2312" w:cs="仿宋_GB2312" w:eastAsia="仿宋_GB2312"/>
                <w:sz w:val="24"/>
                <w:color w:val="000000"/>
              </w:rPr>
              <w:t>月租金单价最高限价</w:t>
            </w:r>
            <w:r>
              <w:rPr>
                <w:rFonts w:ascii="仿宋_GB2312" w:hAnsi="仿宋_GB2312" w:cs="仿宋_GB2312" w:eastAsia="仿宋_GB2312"/>
                <w:sz w:val="24"/>
                <w:color w:val="000000"/>
              </w:rPr>
              <w:t>(含税):52.5元/㎡/月，报价超过采购预算、含税单价超过相应单价最高限价的，按无效标处理。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34.00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每年度提前一个月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每年度提前一个月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服务标准：满足国家及行业现行技术标准、规范要求。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资质证明文件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资质证明文件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提供2024年度的财务审计报告或开标前六个月内其基本存款账户开户银行出具的资信证明（附开户许可证或开户备案证明或基本账户信息）；</w:t>
            </w:r>
          </w:p>
        </w:tc>
        <w:tc>
          <w:tcPr>
            <w:tcW w:type="dxa" w:w="1661"/>
          </w:tcPr>
          <w:p>
            <w:pPr>
              <w:pStyle w:val="null3"/>
            </w:pPr>
            <w:r>
              <w:rPr>
                <w:rFonts w:ascii="仿宋_GB2312" w:hAnsi="仿宋_GB2312" w:cs="仿宋_GB2312" w:eastAsia="仿宋_GB2312"/>
              </w:rPr>
              <w:t>资质证明文件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提供2025年01月01日至今已缴存的至少一个月的纳税证明或完税证明，依法免税的单位应提供相关证明材料；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资质证明文件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提供2025年01月01日至今已缴存的至少一个月的社会保障资金缴存单据或社保机构开具的社会保险参保缴费情况证明，依法不需要缴纳社会保障资金的单位应提供相关证明材料；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资质证明文件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资质证明文件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资质证明文件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法定代表人（负责人）委托授权书\身份证明</w:t>
            </w:r>
          </w:p>
        </w:tc>
        <w:tc>
          <w:tcPr>
            <w:tcW w:type="dxa" w:w="3322"/>
          </w:tcPr>
          <w:p>
            <w:pPr>
              <w:pStyle w:val="null3"/>
            </w:pPr>
            <w:r>
              <w:rPr>
                <w:rFonts w:ascii="仿宋_GB2312" w:hAnsi="仿宋_GB2312" w:cs="仿宋_GB2312" w:eastAsia="仿宋_GB2312"/>
              </w:rPr>
              <w:t>供应商应授权合法的人员参加单一来源采购全过程，其中法定代表人（负责人）直接参加单一来源采购的，须出具法定代表人（负责人）身份证，并与营业执照上信息一致。法定代表人（负责人）授权代表参加单一来源采购的，须出具法定代表人（负责人）授权书及授权代表身份证；</w:t>
            </w:r>
          </w:p>
        </w:tc>
        <w:tc>
          <w:tcPr>
            <w:tcW w:type="dxa" w:w="1661"/>
          </w:tcPr>
          <w:p>
            <w:pPr>
              <w:pStyle w:val="null3"/>
            </w:pPr>
            <w:r>
              <w:rPr>
                <w:rFonts w:ascii="仿宋_GB2312" w:hAnsi="仿宋_GB2312" w:cs="仿宋_GB2312" w:eastAsia="仿宋_GB2312"/>
              </w:rPr>
              <w:t>法定代表人（负责人）证明书及法定代表人（负责人）授权委托书</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资质证明文件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协商内容未出现漏项或数量与要求不符，未出现重大负偏差；</w:t>
            </w:r>
          </w:p>
        </w:tc>
        <w:tc>
          <w:tcPr>
            <w:tcW w:type="dxa" w:w="1661"/>
          </w:tcPr>
          <w:p>
            <w:pPr>
              <w:pStyle w:val="null3"/>
            </w:pPr>
            <w:r>
              <w:rPr>
                <w:rFonts w:ascii="仿宋_GB2312" w:hAnsi="仿宋_GB2312" w:cs="仿宋_GB2312" w:eastAsia="仿宋_GB2312"/>
              </w:rPr>
              <w:t>商务应答表 服务内容及服务要求应答表 法定代表人（负责人）证明书及法定代表人（负责人）授权委托书</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响应文件的签署、加盖公章有效；</w:t>
            </w:r>
          </w:p>
        </w:tc>
        <w:tc>
          <w:tcPr>
            <w:tcW w:type="dxa" w:w="1661"/>
          </w:tcPr>
          <w:p>
            <w:pPr>
              <w:pStyle w:val="null3"/>
            </w:pPr>
            <w:r>
              <w:rPr>
                <w:rFonts w:ascii="仿宋_GB2312" w:hAnsi="仿宋_GB2312" w:cs="仿宋_GB2312" w:eastAsia="仿宋_GB2312"/>
              </w:rPr>
              <w:t>响应文件封面 资质证明文件 法定代表人（负责人）证明书及法定代表人（负责人）授权委托书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响应文件按有效期达到单一来源采购文件的要求；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完全理解并接受法律法规和单一来源采购文件对供应商合法经营的各类规约和责任义务要求，未出现法律、法规或单一来源采购文件规定的其他无效情形的。</w:t>
            </w:r>
          </w:p>
        </w:tc>
        <w:tc>
          <w:tcPr>
            <w:tcW w:type="dxa" w:w="1661"/>
          </w:tcPr>
          <w:p>
            <w:pPr>
              <w:pStyle w:val="null3"/>
            </w:pPr>
            <w:r>
              <w:rPr>
                <w:rFonts w:ascii="仿宋_GB2312" w:hAnsi="仿宋_GB2312" w:cs="仿宋_GB2312" w:eastAsia="仿宋_GB2312"/>
              </w:rPr>
              <w:t>分项报价表 中小企业声明函 商务应答表 服务内容及服务要求应答表 报价表 响应文件封面 资质证明文件 类似项目业绩 残疾人福利性单位声明函 服务方案 法定代表人（负责人）证明书及法定代表人（负责人）授权委托书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根据财政部《关于推动解决政府采购异常低价问题的通知》（财库〔2026〕2号）出现下列情形之一的，评审委员会应当启动异常低价投标（响应）审查程序：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2.投标（响应）报价低于通过符合性审查的次低报价供应商投标（响应）报价50%的，即投标（响应）报价&lt;通过符合性审查的次低报价供应商投标（响应）报价×50%； 3.投标（响应）报价低于采购项目最高限价45%的，即投标（响应）报价&lt;采购项目最高限价×45%； 4.评审委员会基于专业判断，认为供应商报价过低，有可能影响产品质量或者不能诚信履约的其他情形。 相关法律法规对供应商报价有规定的，从其规定。 评审委员会启动异常低价投标（响应）审查后，属于前述第1项至第4项情形的，应当要求相关供应商在评审现场合理的时间内对投标（响应）价格作出解释，提供项目具体成本测算等与报价合理性相关的书面说明及必要的证明材料，包括但不限于原材料成本、人工成本、制造费用等，给予相关供应商的合理时间一般不少于30分钟。其中，属于第3项情形，供应商已随投标（响应）文件一并提交相关书面说明及必要的证明材料的，在评审现场可不再重复提交。 评审委员会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审委员会应当将其作为无效投标（响应）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单一来源采购文件报价</w:t>
            </w:r>
          </w:p>
        </w:tc>
        <w:tc>
          <w:tcPr>
            <w:tcW w:type="dxa" w:w="3322"/>
          </w:tcPr>
          <w:p>
            <w:pPr>
              <w:pStyle w:val="null3"/>
            </w:pPr>
            <w:r>
              <w:rPr>
                <w:rFonts w:ascii="仿宋_GB2312" w:hAnsi="仿宋_GB2312" w:cs="仿宋_GB2312" w:eastAsia="仿宋_GB2312"/>
              </w:rPr>
              <w:t>报价未超过单一来源采购文件文件中规定的最高限价的</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分项报价表 中小企业声明函 商务应答表 服务内容及服务要求应答表 报价表 响应文件封面 资质证明文件 类似项目业绩 残疾人福利性单位声明函 服务方案 法定代表人（负责人）证明书及法定代表人（负责人）授权委托书 标的清单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分项报价表 中小企业声明函 商务应答表 服务内容及服务要求应答表 报价表 响应文件封面 资质证明文件 类似项目业绩 残疾人福利性单位声明函 服务方案 法定代表人（负责人）证明书及法定代表人（负责人）授权委托书 标的清单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详见附件：法定代表人（负责人）证明书及法定代表人（负责人）授权委托书</w:t>
      </w:r>
    </w:p>
    <w:p>
      <w:pPr>
        <w:pStyle w:val="null3"/>
        <w:ind w:firstLine="960"/>
      </w:pPr>
      <w:r>
        <w:rPr>
          <w:rFonts w:ascii="仿宋_GB2312" w:hAnsi="仿宋_GB2312" w:cs="仿宋_GB2312" w:eastAsia="仿宋_GB2312"/>
        </w:rPr>
        <w:t>详见附件：资质证明文件</w:t>
      </w:r>
    </w:p>
    <w:p>
      <w:pPr>
        <w:pStyle w:val="null3"/>
        <w:ind w:firstLine="960"/>
      </w:pPr>
      <w:r>
        <w:rPr>
          <w:rFonts w:ascii="仿宋_GB2312" w:hAnsi="仿宋_GB2312" w:cs="仿宋_GB2312" w:eastAsia="仿宋_GB2312"/>
        </w:rPr>
        <w:t>详见附件：类似项目业绩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详见附件：第七章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