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C5DB5">
      <w:pPr>
        <w:jc w:val="center"/>
        <w:rPr>
          <w:rFonts w:hint="eastAsia" w:ascii="宋体" w:hAnsi="宋体" w:eastAsia="宋体" w:cs="宋体"/>
          <w:b/>
          <w:bCs/>
          <w:sz w:val="48"/>
          <w:szCs w:val="48"/>
        </w:rPr>
      </w:pPr>
      <w:r>
        <w:rPr>
          <w:rFonts w:hint="eastAsia" w:cs="宋体"/>
          <w:b/>
          <w:bCs/>
          <w:sz w:val="48"/>
          <w:szCs w:val="48"/>
          <w:lang w:eastAsia="zh-CN"/>
        </w:rPr>
        <w:t>2025年干部职工体检项目</w:t>
      </w:r>
    </w:p>
    <w:p w14:paraId="43B0A961">
      <w:pPr>
        <w:jc w:val="center"/>
        <w:rPr>
          <w:rFonts w:hint="eastAsia" w:ascii="宋体" w:hAnsi="宋体" w:eastAsia="宋体" w:cs="宋体"/>
          <w:b/>
          <w:kern w:val="0"/>
          <w:szCs w:val="21"/>
        </w:rPr>
      </w:pPr>
    </w:p>
    <w:p w14:paraId="473602DD">
      <w:pPr>
        <w:spacing w:line="560" w:lineRule="exact"/>
        <w:jc w:val="center"/>
        <w:rPr>
          <w:rFonts w:hint="eastAsia" w:ascii="宋体" w:hAnsi="宋体" w:eastAsia="宋体" w:cs="宋体"/>
          <w:b/>
          <w:kern w:val="0"/>
          <w:sz w:val="36"/>
          <w:szCs w:val="36"/>
        </w:rPr>
      </w:pPr>
    </w:p>
    <w:p w14:paraId="5DFCE7E1">
      <w:pPr>
        <w:shd w:val="clea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28C5808F">
      <w:pPr>
        <w:pStyle w:val="2"/>
        <w:rPr>
          <w:rFonts w:hint="eastAsia"/>
        </w:rPr>
      </w:pPr>
    </w:p>
    <w:p w14:paraId="630F53E2">
      <w:pPr>
        <w:spacing w:line="560" w:lineRule="exact"/>
        <w:rPr>
          <w:rFonts w:hint="eastAsia" w:ascii="宋体" w:hAnsi="宋体" w:eastAsia="宋体" w:cs="宋体"/>
          <w:b/>
          <w:lang w:eastAsia="zh-CN"/>
        </w:rPr>
      </w:pPr>
      <w:r>
        <w:rPr>
          <w:rFonts w:hint="eastAsia" w:ascii="宋体" w:hAnsi="宋体" w:cs="宋体"/>
          <w:b/>
          <w:kern w:val="0"/>
          <w:sz w:val="36"/>
          <w:szCs w:val="36"/>
          <w:lang w:val="en-US" w:eastAsia="zh-CN"/>
        </w:rPr>
        <w:t xml:space="preserve"> </w:t>
      </w:r>
    </w:p>
    <w:p w14:paraId="5BCA9FF9">
      <w:pPr>
        <w:pStyle w:val="2"/>
        <w:rPr>
          <w:rFonts w:hint="eastAsia" w:ascii="宋体" w:hAnsi="宋体" w:eastAsia="宋体" w:cs="宋体"/>
          <w:b/>
          <w:sz w:val="48"/>
          <w:szCs w:val="48"/>
        </w:rPr>
      </w:pPr>
    </w:p>
    <w:p w14:paraId="6815FD3A">
      <w:pPr>
        <w:rPr>
          <w:rFonts w:hint="eastAsia" w:ascii="宋体" w:hAnsi="宋体" w:eastAsia="宋体" w:cs="宋体"/>
          <w:b/>
          <w:sz w:val="48"/>
          <w:szCs w:val="48"/>
        </w:rPr>
      </w:pPr>
    </w:p>
    <w:p w14:paraId="5CE55ADD">
      <w:pPr>
        <w:pStyle w:val="2"/>
        <w:rPr>
          <w:rFonts w:hint="eastAsia" w:ascii="宋体" w:hAnsi="宋体" w:eastAsia="宋体" w:cs="宋体"/>
        </w:rPr>
      </w:pPr>
    </w:p>
    <w:p w14:paraId="269C495F">
      <w:pPr>
        <w:rPr>
          <w:rFonts w:hint="eastAsia" w:ascii="宋体" w:hAnsi="宋体" w:eastAsia="宋体" w:cs="宋体"/>
        </w:rPr>
      </w:pPr>
    </w:p>
    <w:p w14:paraId="30A9AEB2">
      <w:pPr>
        <w:pStyle w:val="2"/>
        <w:rPr>
          <w:rFonts w:hint="eastAsia"/>
        </w:rPr>
      </w:pPr>
    </w:p>
    <w:p w14:paraId="4279C76B">
      <w:pPr>
        <w:rPr>
          <w:rFonts w:hint="eastAsia" w:ascii="宋体" w:hAnsi="宋体" w:eastAsia="宋体" w:cs="宋体"/>
        </w:rPr>
      </w:pPr>
    </w:p>
    <w:p w14:paraId="6A01E408">
      <w:pPr>
        <w:rPr>
          <w:rFonts w:hint="eastAsia" w:ascii="宋体" w:hAnsi="宋体" w:eastAsia="宋体" w:cs="宋体"/>
        </w:rPr>
      </w:pPr>
    </w:p>
    <w:p w14:paraId="265335BA">
      <w:pPr>
        <w:rPr>
          <w:rFonts w:hint="eastAsia" w:ascii="宋体" w:hAnsi="宋体" w:eastAsia="宋体" w:cs="宋体"/>
        </w:rPr>
      </w:pPr>
    </w:p>
    <w:p w14:paraId="59B50EF0">
      <w:pPr>
        <w:rPr>
          <w:rFonts w:hint="eastAsia" w:ascii="宋体" w:hAnsi="宋体" w:eastAsia="宋体" w:cs="宋体"/>
        </w:rPr>
      </w:pPr>
    </w:p>
    <w:p w14:paraId="2F2F2B76">
      <w:pPr>
        <w:spacing w:line="560" w:lineRule="exact"/>
        <w:ind w:left="1469" w:hanging="1469" w:hangingChars="400"/>
        <w:rPr>
          <w:rFonts w:hint="eastAsia" w:ascii="宋体" w:hAnsi="宋体" w:eastAsia="宋体" w:cs="宋体"/>
          <w:b/>
          <w:spacing w:val="23"/>
          <w:sz w:val="32"/>
          <w:szCs w:val="32"/>
        </w:rPr>
      </w:pPr>
      <w:r>
        <w:rPr>
          <w:rFonts w:hint="eastAsia" w:ascii="宋体" w:hAnsi="宋体" w:eastAsia="宋体" w:cs="宋体"/>
          <w:b/>
          <w:spacing w:val="23"/>
          <w:sz w:val="32"/>
          <w:szCs w:val="32"/>
        </w:rPr>
        <w:t xml:space="preserve">          </w:t>
      </w:r>
      <w:r>
        <w:rPr>
          <w:rFonts w:hint="eastAsia" w:ascii="宋体" w:hAnsi="宋体" w:eastAsia="宋体" w:cs="宋体"/>
          <w:b/>
          <w:spacing w:val="23"/>
          <w:sz w:val="32"/>
          <w:szCs w:val="32"/>
          <w:u w:val="none"/>
        </w:rPr>
        <w:t>甲方：</w:t>
      </w:r>
      <w:r>
        <w:rPr>
          <w:rFonts w:hint="eastAsia" w:ascii="宋体" w:hAnsi="宋体" w:eastAsia="宋体" w:cs="宋体"/>
          <w:b/>
          <w:spacing w:val="23"/>
          <w:sz w:val="32"/>
          <w:szCs w:val="32"/>
          <w:u w:val="single"/>
        </w:rPr>
        <w:t xml:space="preserve">     </w:t>
      </w:r>
      <w:r>
        <w:rPr>
          <w:rFonts w:hint="eastAsia" w:cs="宋体"/>
          <w:b/>
          <w:spacing w:val="23"/>
          <w:sz w:val="32"/>
          <w:szCs w:val="32"/>
          <w:u w:val="single"/>
          <w:lang w:val="en-US" w:eastAsia="zh-CN"/>
        </w:rPr>
        <w:t xml:space="preserve">         </w:t>
      </w:r>
      <w:r>
        <w:rPr>
          <w:rFonts w:hint="eastAsia" w:ascii="宋体" w:hAnsi="宋体" w:eastAsia="宋体" w:cs="宋体"/>
          <w:b/>
          <w:spacing w:val="23"/>
          <w:sz w:val="32"/>
          <w:szCs w:val="32"/>
          <w:u w:val="single"/>
        </w:rPr>
        <w:t xml:space="preserve">     </w:t>
      </w:r>
    </w:p>
    <w:p w14:paraId="519C7181">
      <w:pPr>
        <w:spacing w:line="560" w:lineRule="exact"/>
        <w:ind w:left="1469" w:hanging="1469" w:hangingChars="400"/>
        <w:rPr>
          <w:rFonts w:hint="eastAsia" w:ascii="宋体" w:hAnsi="宋体" w:eastAsia="宋体" w:cs="宋体"/>
          <w:b/>
          <w:spacing w:val="23"/>
          <w:sz w:val="32"/>
          <w:szCs w:val="32"/>
        </w:rPr>
      </w:pPr>
      <w:r>
        <w:rPr>
          <w:rFonts w:hint="eastAsia" w:ascii="宋体" w:hAnsi="宋体" w:eastAsia="宋体" w:cs="宋体"/>
          <w:b/>
          <w:spacing w:val="23"/>
          <w:sz w:val="32"/>
          <w:szCs w:val="32"/>
        </w:rPr>
        <w:t xml:space="preserve">          </w:t>
      </w:r>
      <w:r>
        <w:rPr>
          <w:rFonts w:hint="eastAsia" w:ascii="宋体" w:hAnsi="宋体" w:eastAsia="宋体" w:cs="宋体"/>
          <w:u w:val="none"/>
        </w:rPr>
        <w:fldChar w:fldCharType="begin"/>
      </w:r>
      <w:r>
        <w:rPr>
          <w:rFonts w:hint="eastAsia" w:ascii="宋体" w:hAnsi="宋体" w:eastAsia="宋体" w:cs="宋体"/>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u w:val="none"/>
        </w:rPr>
        <w:fldChar w:fldCharType="separate"/>
      </w:r>
      <w:r>
        <w:rPr>
          <w:rStyle w:val="7"/>
          <w:rFonts w:hint="eastAsia" w:ascii="宋体" w:hAnsi="宋体" w:eastAsia="宋体" w:cs="宋体"/>
          <w:b/>
          <w:color w:val="auto"/>
          <w:spacing w:val="23"/>
          <w:sz w:val="32"/>
          <w:szCs w:val="32"/>
          <w:u w:val="none"/>
        </w:rPr>
        <w:t>乙方</w:t>
      </w:r>
      <w:r>
        <w:rPr>
          <w:rFonts w:hint="eastAsia" w:ascii="宋体" w:hAnsi="宋体" w:eastAsia="宋体" w:cs="宋体"/>
          <w:b/>
          <w:spacing w:val="23"/>
          <w:sz w:val="32"/>
          <w:szCs w:val="32"/>
          <w:u w:val="none"/>
        </w:rPr>
        <w:fldChar w:fldCharType="end"/>
      </w:r>
      <w:r>
        <w:rPr>
          <w:rFonts w:hint="eastAsia" w:ascii="宋体" w:hAnsi="宋体" w:eastAsia="宋体" w:cs="宋体"/>
          <w:b/>
          <w:spacing w:val="23"/>
          <w:sz w:val="32"/>
          <w:szCs w:val="32"/>
          <w:u w:val="none"/>
        </w:rPr>
        <w:t>：</w:t>
      </w:r>
      <w:r>
        <w:rPr>
          <w:rFonts w:hint="eastAsia" w:ascii="宋体" w:hAnsi="宋体" w:eastAsia="宋体" w:cs="宋体"/>
          <w:b/>
          <w:spacing w:val="23"/>
          <w:sz w:val="32"/>
          <w:szCs w:val="32"/>
          <w:u w:val="single"/>
        </w:rPr>
        <w:t xml:space="preserve">      </w:t>
      </w:r>
      <w:r>
        <w:rPr>
          <w:rFonts w:hint="eastAsia" w:cs="宋体"/>
          <w:b/>
          <w:spacing w:val="23"/>
          <w:sz w:val="32"/>
          <w:szCs w:val="32"/>
          <w:u w:val="single"/>
          <w:lang w:val="en-US" w:eastAsia="zh-CN"/>
        </w:rPr>
        <w:t xml:space="preserve">         </w:t>
      </w:r>
      <w:r>
        <w:rPr>
          <w:rFonts w:hint="eastAsia" w:ascii="宋体" w:hAnsi="宋体" w:eastAsia="宋体" w:cs="宋体"/>
          <w:b/>
          <w:spacing w:val="23"/>
          <w:sz w:val="32"/>
          <w:szCs w:val="32"/>
          <w:u w:val="single"/>
        </w:rPr>
        <w:t xml:space="preserve">    </w:t>
      </w:r>
    </w:p>
    <w:p w14:paraId="7A074444">
      <w:pPr>
        <w:pStyle w:val="4"/>
        <w:widowControl/>
        <w:adjustRightInd w:val="0"/>
        <w:spacing w:line="560" w:lineRule="exact"/>
        <w:rPr>
          <w:rFonts w:hint="eastAsia" w:ascii="宋体" w:hAnsi="宋体" w:eastAsia="宋体" w:cs="宋体"/>
          <w:b/>
          <w:spacing w:val="23"/>
          <w:kern w:val="0"/>
          <w:sz w:val="32"/>
          <w:szCs w:val="32"/>
        </w:rPr>
      </w:pPr>
      <w:r>
        <w:rPr>
          <w:rFonts w:hint="eastAsia" w:ascii="宋体" w:hAnsi="宋体" w:eastAsia="宋体" w:cs="宋体"/>
          <w:b/>
          <w:spacing w:val="23"/>
          <w:kern w:val="0"/>
          <w:sz w:val="32"/>
          <w:szCs w:val="32"/>
        </w:rPr>
        <w:t xml:space="preserve">          签订时间：</w:t>
      </w:r>
      <w:r>
        <w:rPr>
          <w:rFonts w:hint="eastAsia" w:ascii="宋体" w:hAnsi="宋体" w:eastAsia="宋体" w:cs="宋体"/>
          <w:b/>
          <w:spacing w:val="23"/>
          <w:kern w:val="0"/>
          <w:sz w:val="32"/>
          <w:szCs w:val="32"/>
          <w:u w:val="single"/>
        </w:rPr>
        <w:t xml:space="preserve">     </w:t>
      </w:r>
      <w:r>
        <w:rPr>
          <w:rFonts w:hint="eastAsia" w:ascii="宋体" w:hAnsi="宋体" w:eastAsia="宋体" w:cs="宋体"/>
          <w:b/>
          <w:spacing w:val="23"/>
          <w:kern w:val="0"/>
          <w:sz w:val="32"/>
          <w:szCs w:val="32"/>
        </w:rPr>
        <w:t>年</w:t>
      </w:r>
      <w:r>
        <w:rPr>
          <w:rFonts w:hint="eastAsia" w:ascii="宋体" w:hAnsi="宋体" w:eastAsia="宋体" w:cs="宋体"/>
          <w:b/>
          <w:spacing w:val="23"/>
          <w:kern w:val="0"/>
          <w:sz w:val="32"/>
          <w:szCs w:val="32"/>
          <w:u w:val="single"/>
        </w:rPr>
        <w:t xml:space="preserve">  </w:t>
      </w:r>
      <w:r>
        <w:rPr>
          <w:rFonts w:hint="eastAsia" w:ascii="宋体" w:hAnsi="宋体" w:eastAsia="宋体" w:cs="宋体"/>
          <w:b/>
          <w:spacing w:val="23"/>
          <w:kern w:val="0"/>
          <w:sz w:val="32"/>
          <w:szCs w:val="32"/>
        </w:rPr>
        <w:t>月</w:t>
      </w:r>
      <w:r>
        <w:rPr>
          <w:rFonts w:hint="eastAsia" w:ascii="宋体" w:hAnsi="宋体" w:eastAsia="宋体" w:cs="宋体"/>
          <w:b/>
          <w:spacing w:val="23"/>
          <w:kern w:val="0"/>
          <w:sz w:val="32"/>
          <w:szCs w:val="32"/>
          <w:u w:val="single"/>
        </w:rPr>
        <w:t xml:space="preserve">   </w:t>
      </w:r>
      <w:r>
        <w:rPr>
          <w:rFonts w:hint="eastAsia" w:ascii="宋体" w:hAnsi="宋体" w:eastAsia="宋体" w:cs="宋体"/>
          <w:b/>
          <w:spacing w:val="23"/>
          <w:kern w:val="0"/>
          <w:sz w:val="32"/>
          <w:szCs w:val="32"/>
        </w:rPr>
        <w:t>日</w:t>
      </w:r>
    </w:p>
    <w:p w14:paraId="1FA300F3">
      <w:pPr>
        <w:snapToGrid w:val="0"/>
        <w:spacing w:line="360" w:lineRule="auto"/>
        <w:jc w:val="center"/>
        <w:rPr>
          <w:rFonts w:hint="eastAsia" w:ascii="宋体" w:hAnsi="宋体" w:eastAsia="宋体" w:cs="宋体"/>
          <w:b/>
          <w:sz w:val="36"/>
          <w:szCs w:val="36"/>
          <w:lang w:bidi="ar"/>
        </w:rPr>
      </w:pPr>
    </w:p>
    <w:p w14:paraId="525078D7">
      <w:pPr>
        <w:snapToGrid w:val="0"/>
        <w:spacing w:line="360" w:lineRule="auto"/>
        <w:jc w:val="center"/>
        <w:rPr>
          <w:rFonts w:hint="eastAsia" w:ascii="宋体" w:hAnsi="宋体" w:eastAsia="宋体" w:cs="宋体"/>
          <w:b/>
          <w:sz w:val="30"/>
          <w:szCs w:val="30"/>
          <w:lang w:bidi="ar"/>
        </w:rPr>
      </w:pPr>
    </w:p>
    <w:p w14:paraId="2FE9A0E6">
      <w:pPr>
        <w:keepNext w:val="0"/>
        <w:keepLines w:val="0"/>
        <w:pageBreakBefore w:val="0"/>
        <w:kinsoku/>
        <w:wordWrap/>
        <w:overflowPunct/>
        <w:topLinePunct w:val="0"/>
        <w:autoSpaceDE/>
        <w:autoSpaceDN/>
        <w:bidi w:val="0"/>
        <w:adjustRightInd w:val="0"/>
        <w:snapToGrid w:val="0"/>
        <w:spacing w:beforeAutospacing="0" w:afterAutospacing="0" w:line="360" w:lineRule="auto"/>
        <w:ind w:right="0" w:rightChars="0"/>
        <w:textAlignment w:val="auto"/>
        <w:rPr>
          <w:rFonts w:hint="eastAsia" w:ascii="宋体" w:hAnsi="宋体" w:eastAsia="宋体" w:cs="宋体"/>
          <w:sz w:val="21"/>
          <w:szCs w:val="21"/>
        </w:rPr>
      </w:pPr>
    </w:p>
    <w:p w14:paraId="12543106">
      <w:pPr>
        <w:keepNext w:val="0"/>
        <w:keepLines w:val="0"/>
        <w:pageBreakBefore w:val="0"/>
        <w:kinsoku/>
        <w:wordWrap/>
        <w:overflowPunct/>
        <w:topLinePunct w:val="0"/>
        <w:autoSpaceDE/>
        <w:autoSpaceDN/>
        <w:bidi w:val="0"/>
        <w:adjustRightInd w:val="0"/>
        <w:snapToGrid w:val="0"/>
        <w:spacing w:beforeAutospacing="0" w:afterAutospacing="0" w:line="360" w:lineRule="auto"/>
        <w:ind w:right="0" w:rightChars="0" w:firstLine="602" w:firstLineChars="200"/>
        <w:jc w:val="center"/>
        <w:textAlignment w:val="auto"/>
        <w:rPr>
          <w:rFonts w:hint="eastAsia" w:ascii="宋体" w:hAnsi="宋体" w:eastAsia="宋体" w:cs="宋体"/>
          <w:sz w:val="21"/>
          <w:szCs w:val="21"/>
        </w:rPr>
      </w:pPr>
      <w:r>
        <w:rPr>
          <w:rFonts w:hint="eastAsia" w:ascii="宋体" w:hAnsi="宋体" w:eastAsia="宋体" w:cs="宋体"/>
          <w:b/>
          <w:bCs/>
          <w:sz w:val="30"/>
          <w:szCs w:val="30"/>
          <w:lang w:eastAsia="zh-CN"/>
        </w:rPr>
        <w:t>第一部分  协议书</w:t>
      </w:r>
    </w:p>
    <w:p w14:paraId="1A5FAE3E">
      <w:pPr>
        <w:keepNext w:val="0"/>
        <w:keepLines w:val="0"/>
        <w:pageBreakBefore w:val="0"/>
        <w:kinsoku/>
        <w:wordWrap/>
        <w:overflowPunct/>
        <w:topLinePunct w:val="0"/>
        <w:autoSpaceDE/>
        <w:autoSpaceDN/>
        <w:bidi w:val="0"/>
        <w:adjustRightInd w:val="0"/>
        <w:snapToGrid w:val="0"/>
        <w:spacing w:beforeAutospacing="0" w:afterAutospacing="0" w:line="360" w:lineRule="auto"/>
        <w:ind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r>
        <w:rPr>
          <w:rFonts w:hint="eastAsia" w:cs="宋体"/>
          <w:sz w:val="21"/>
          <w:szCs w:val="21"/>
          <w:u w:val="single"/>
          <w:lang w:val="en-US" w:eastAsia="zh-CN"/>
        </w:rPr>
        <w:t xml:space="preserve">    </w:t>
      </w:r>
      <w:r>
        <w:rPr>
          <w:rFonts w:hint="eastAsia" w:ascii="宋体" w:hAnsi="宋体" w:eastAsia="宋体" w:cs="宋体"/>
          <w:sz w:val="21"/>
          <w:szCs w:val="21"/>
          <w:u w:val="single"/>
        </w:rPr>
        <w:t xml:space="preserve">        </w:t>
      </w:r>
    </w:p>
    <w:p w14:paraId="0D7AED4B">
      <w:pPr>
        <w:keepNext w:val="0"/>
        <w:keepLines w:val="0"/>
        <w:pageBreakBefore w:val="0"/>
        <w:kinsoku/>
        <w:wordWrap/>
        <w:overflowPunct/>
        <w:topLinePunct w:val="0"/>
        <w:autoSpaceDE/>
        <w:autoSpaceDN/>
        <w:bidi w:val="0"/>
        <w:adjustRightInd w:val="0"/>
        <w:snapToGrid w:val="0"/>
        <w:spacing w:beforeAutospacing="0" w:afterAutospacing="0" w:line="360" w:lineRule="auto"/>
        <w:ind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乙方</w: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cs="宋体"/>
          <w:sz w:val="21"/>
          <w:szCs w:val="21"/>
          <w:u w:val="single"/>
          <w:lang w:val="en-US" w:eastAsia="zh-CN"/>
        </w:rPr>
        <w:t xml:space="preserve">   </w:t>
      </w:r>
      <w:r>
        <w:rPr>
          <w:rFonts w:hint="eastAsia" w:ascii="宋体" w:hAnsi="宋体" w:eastAsia="宋体" w:cs="宋体"/>
          <w:sz w:val="21"/>
          <w:szCs w:val="21"/>
          <w:u w:val="single"/>
        </w:rPr>
        <w:t xml:space="preserve">     </w:t>
      </w:r>
    </w:p>
    <w:p w14:paraId="1735147B">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right="0" w:rightChars="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依据《中华人民共和国政府采购法》、《中华人民共和国民法典》等相关法律以及竞争性磋商文件、成交供应商竞争性磋商响应文件和澄清表（函）、成交通知书，经甲、乙双方协商，达成如下条款。</w:t>
      </w:r>
    </w:p>
    <w:p w14:paraId="5410C03B">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第一条  合同约定的内容</w:t>
      </w:r>
    </w:p>
    <w:p w14:paraId="631A658B">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体检项目及具体内容：</w:t>
      </w:r>
      <w:r>
        <w:rPr>
          <w:rFonts w:hint="eastAsia" w:cs="宋体"/>
          <w:kern w:val="0"/>
          <w:sz w:val="21"/>
          <w:szCs w:val="21"/>
          <w:lang w:eastAsia="zh-CN"/>
        </w:rPr>
        <w:t>新筑街办2025年干部职工体检</w:t>
      </w:r>
      <w:r>
        <w:rPr>
          <w:rFonts w:hint="eastAsia" w:ascii="宋体" w:hAnsi="宋体" w:eastAsia="宋体" w:cs="宋体"/>
          <w:kern w:val="0"/>
          <w:sz w:val="21"/>
          <w:szCs w:val="21"/>
        </w:rPr>
        <w:t>，体检套餐明细详见附件</w:t>
      </w:r>
      <w:r>
        <w:rPr>
          <w:rFonts w:hint="eastAsia" w:cs="宋体"/>
          <w:kern w:val="0"/>
          <w:sz w:val="21"/>
          <w:szCs w:val="21"/>
          <w:lang w:eastAsia="zh-CN"/>
        </w:rPr>
        <w:t>一</w:t>
      </w:r>
      <w:r>
        <w:rPr>
          <w:rFonts w:hint="eastAsia" w:ascii="宋体" w:hAnsi="宋体" w:eastAsia="宋体" w:cs="宋体"/>
          <w:kern w:val="0"/>
          <w:sz w:val="21"/>
          <w:szCs w:val="21"/>
        </w:rPr>
        <w:t>；</w:t>
      </w:r>
    </w:p>
    <w:p w14:paraId="4C415642">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第二条  合同金额</w:t>
      </w:r>
    </w:p>
    <w:p w14:paraId="470438EC">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highlight w:val="none"/>
          <w:u w:val="single"/>
          <w:lang w:val="en-US" w:eastAsia="zh-CN"/>
        </w:rPr>
      </w:pPr>
      <w:r>
        <w:rPr>
          <w:rFonts w:hint="eastAsia" w:ascii="宋体" w:hAnsi="宋体" w:eastAsia="宋体" w:cs="宋体"/>
          <w:kern w:val="0"/>
          <w:sz w:val="21"/>
          <w:szCs w:val="21"/>
          <w:highlight w:val="none"/>
        </w:rPr>
        <w:t>1、合同形式:</w:t>
      </w:r>
      <w:r>
        <w:rPr>
          <w:rFonts w:hint="eastAsia" w:ascii="宋体" w:hAnsi="宋体" w:eastAsia="宋体" w:cs="宋体"/>
          <w:kern w:val="0"/>
          <w:sz w:val="21"/>
          <w:szCs w:val="21"/>
          <w:highlight w:val="none"/>
          <w:u w:val="single"/>
          <w:lang w:val="en-US" w:eastAsia="zh-CN"/>
        </w:rPr>
        <w:t>固定单价合同</w:t>
      </w:r>
    </w:p>
    <w:p w14:paraId="726E3F3D">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highlight w:val="none"/>
          <w:u w:val="none"/>
          <w:lang w:val="en-US" w:eastAsia="zh-CN"/>
        </w:rPr>
      </w:pPr>
      <w:r>
        <w:rPr>
          <w:rFonts w:hint="eastAsia" w:ascii="宋体" w:hAnsi="宋体" w:eastAsia="宋体" w:cs="宋体"/>
          <w:kern w:val="0"/>
          <w:sz w:val="21"/>
          <w:szCs w:val="21"/>
          <w:highlight w:val="none"/>
          <w:u w:val="none"/>
          <w:lang w:val="en-US" w:eastAsia="zh-CN"/>
        </w:rPr>
        <w:t>合同</w:t>
      </w:r>
      <w:r>
        <w:rPr>
          <w:rFonts w:hint="eastAsia" w:cs="宋体"/>
          <w:kern w:val="0"/>
          <w:sz w:val="21"/>
          <w:szCs w:val="21"/>
          <w:highlight w:val="none"/>
          <w:u w:val="none"/>
          <w:lang w:val="en-US" w:eastAsia="zh-CN"/>
        </w:rPr>
        <w:t>单价为全费用综合单价，</w:t>
      </w:r>
      <w:r>
        <w:rPr>
          <w:rFonts w:hint="eastAsia" w:ascii="宋体" w:hAnsi="宋体" w:eastAsia="宋体" w:cs="宋体"/>
          <w:kern w:val="0"/>
          <w:sz w:val="21"/>
          <w:szCs w:val="21"/>
          <w:highlight w:val="none"/>
          <w:u w:val="none"/>
          <w:lang w:val="en-US" w:eastAsia="zh-CN"/>
        </w:rPr>
        <w:t>包括但不限于体检费、报告费、早餐费、咨询费、健康管理服务费用、利润、税金、风险及完成工作准备阶段、实施阶段、结果报告出具阶段、后续服务阶段等其他一切相关费用。</w:t>
      </w:r>
    </w:p>
    <w:p w14:paraId="5D56B4FF">
      <w:pPr>
        <w:keepNext w:val="0"/>
        <w:keepLines w:val="0"/>
        <w:pageBreakBefore w:val="0"/>
        <w:widowControl/>
        <w:numPr>
          <w:ilvl w:val="0"/>
          <w:numId w:val="0"/>
        </w:numPr>
        <w:kinsoku/>
        <w:wordWrap/>
        <w:overflowPunct/>
        <w:topLinePunct w:val="0"/>
        <w:autoSpaceDE/>
        <w:autoSpaceDN/>
        <w:bidi w:val="0"/>
        <w:spacing w:beforeAutospacing="0" w:afterAutospacing="0" w:line="360" w:lineRule="auto"/>
        <w:ind w:leftChars="209" w:right="-207" w:rightChars="-94"/>
        <w:jc w:val="left"/>
        <w:textAlignment w:val="auto"/>
        <w:rPr>
          <w:rFonts w:hint="eastAsia" w:ascii="宋体" w:hAnsi="宋体" w:eastAsia="宋体" w:cs="宋体"/>
          <w:bCs/>
          <w:color w:val="auto"/>
          <w:sz w:val="21"/>
          <w:szCs w:val="21"/>
          <w:highlight w:val="none"/>
        </w:rPr>
      </w:pPr>
      <w:r>
        <w:rPr>
          <w:rFonts w:hint="eastAsia" w:cs="宋体"/>
          <w:sz w:val="21"/>
          <w:szCs w:val="21"/>
          <w:highlight w:val="none"/>
          <w:lang w:val="en-US" w:eastAsia="zh-CN"/>
        </w:rPr>
        <w:t>2、</w:t>
      </w:r>
      <w:r>
        <w:rPr>
          <w:rFonts w:hint="eastAsia" w:ascii="宋体" w:hAnsi="宋体" w:eastAsia="宋体" w:cs="宋体"/>
          <w:sz w:val="21"/>
          <w:szCs w:val="21"/>
          <w:highlight w:val="none"/>
          <w:lang w:val="en-US" w:eastAsia="zh-CN"/>
        </w:rPr>
        <w:t>合同暂定总价</w:t>
      </w:r>
      <w:r>
        <w:rPr>
          <w:rFonts w:hint="eastAsia" w:ascii="宋体" w:hAnsi="宋体" w:eastAsia="宋体" w:cs="宋体"/>
          <w:bCs/>
          <w:sz w:val="21"/>
          <w:szCs w:val="21"/>
          <w:highlight w:val="none"/>
          <w:lang w:val="en-US" w:eastAsia="zh-CN"/>
        </w:rPr>
        <w:t>大写：人民币</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元</w:t>
      </w:r>
    </w:p>
    <w:p w14:paraId="268EB463">
      <w:pPr>
        <w:pStyle w:val="2"/>
        <w:keepNext w:val="0"/>
        <w:keepLines w:val="0"/>
        <w:pageBreakBefore w:val="0"/>
        <w:kinsoku/>
        <w:wordWrap/>
        <w:overflowPunct/>
        <w:topLinePunct w:val="0"/>
        <w:autoSpaceDE/>
        <w:autoSpaceDN/>
        <w:bidi w:val="0"/>
        <w:spacing w:beforeAutospacing="0" w:afterAutospacing="0"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cs="宋体"/>
          <w:color w:val="auto"/>
          <w:spacing w:val="0"/>
          <w:sz w:val="21"/>
          <w:szCs w:val="21"/>
          <w:highlight w:val="none"/>
          <w:lang w:val="en-US" w:eastAsia="zh-CN"/>
        </w:rPr>
        <w:t>具体合同单价详见下表</w:t>
      </w:r>
      <w:r>
        <w:rPr>
          <w:rFonts w:hint="eastAsia" w:ascii="宋体" w:hAnsi="宋体" w:eastAsia="宋体" w:cs="宋体"/>
          <w:sz w:val="21"/>
          <w:szCs w:val="21"/>
          <w:highlight w:val="none"/>
        </w:rPr>
        <w:t>：</w:t>
      </w:r>
    </w:p>
    <w:tbl>
      <w:tblPr>
        <w:tblStyle w:val="5"/>
        <w:tblW w:w="911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11"/>
        <w:gridCol w:w="1339"/>
        <w:gridCol w:w="1302"/>
        <w:gridCol w:w="2137"/>
        <w:gridCol w:w="2337"/>
        <w:gridCol w:w="1088"/>
      </w:tblGrid>
      <w:tr w14:paraId="173A6B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911" w:type="dxa"/>
            <w:vAlign w:val="center"/>
          </w:tcPr>
          <w:p w14:paraId="079E5F59">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1339" w:type="dxa"/>
            <w:vAlign w:val="center"/>
          </w:tcPr>
          <w:p w14:paraId="7BAA1964">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性别</w:t>
            </w:r>
          </w:p>
        </w:tc>
        <w:tc>
          <w:tcPr>
            <w:tcW w:w="1302" w:type="dxa"/>
            <w:vAlign w:val="center"/>
          </w:tcPr>
          <w:p w14:paraId="74E311BD">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cs="宋体"/>
                <w:b/>
                <w:bCs/>
                <w:i w:val="0"/>
                <w:iCs w:val="0"/>
                <w:color w:val="000000"/>
                <w:kern w:val="0"/>
                <w:sz w:val="21"/>
                <w:szCs w:val="21"/>
                <w:u w:val="none"/>
                <w:lang w:val="en-US" w:eastAsia="zh-CN" w:bidi="ar"/>
              </w:rPr>
              <w:t>暂定</w:t>
            </w:r>
            <w:r>
              <w:rPr>
                <w:rFonts w:hint="eastAsia" w:ascii="宋体" w:hAnsi="宋体" w:eastAsia="宋体" w:cs="宋体"/>
                <w:b/>
                <w:bCs/>
                <w:i w:val="0"/>
                <w:iCs w:val="0"/>
                <w:color w:val="000000"/>
                <w:kern w:val="0"/>
                <w:sz w:val="21"/>
                <w:szCs w:val="21"/>
                <w:u w:val="none"/>
                <w:lang w:val="en-US" w:eastAsia="zh-CN" w:bidi="ar"/>
              </w:rPr>
              <w:t>人数</w:t>
            </w:r>
          </w:p>
        </w:tc>
        <w:tc>
          <w:tcPr>
            <w:tcW w:w="2137" w:type="dxa"/>
            <w:vAlign w:val="center"/>
          </w:tcPr>
          <w:p w14:paraId="05BA39E8">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单价（元/人）</w:t>
            </w:r>
          </w:p>
        </w:tc>
        <w:tc>
          <w:tcPr>
            <w:tcW w:w="2337" w:type="dxa"/>
            <w:tcBorders>
              <w:right w:val="single" w:color="auto" w:sz="4" w:space="0"/>
            </w:tcBorders>
            <w:vAlign w:val="center"/>
          </w:tcPr>
          <w:p w14:paraId="76C5434F">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合计（元）</w:t>
            </w:r>
          </w:p>
        </w:tc>
        <w:tc>
          <w:tcPr>
            <w:tcW w:w="1088" w:type="dxa"/>
            <w:tcBorders>
              <w:left w:val="single" w:color="auto" w:sz="4" w:space="0"/>
            </w:tcBorders>
            <w:vAlign w:val="center"/>
          </w:tcPr>
          <w:p w14:paraId="759CEF00">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备注</w:t>
            </w:r>
          </w:p>
        </w:tc>
      </w:tr>
      <w:tr w14:paraId="41D10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44" w:hRule="atLeast"/>
          <w:jc w:val="center"/>
        </w:trPr>
        <w:tc>
          <w:tcPr>
            <w:tcW w:w="911" w:type="dxa"/>
            <w:vAlign w:val="center"/>
          </w:tcPr>
          <w:p w14:paraId="3B2091A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339" w:type="dxa"/>
            <w:vAlign w:val="center"/>
          </w:tcPr>
          <w:p w14:paraId="77F240F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男性</w:t>
            </w:r>
          </w:p>
        </w:tc>
        <w:tc>
          <w:tcPr>
            <w:tcW w:w="1302" w:type="dxa"/>
            <w:vAlign w:val="center"/>
          </w:tcPr>
          <w:p w14:paraId="2707A5B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204人</w:t>
            </w:r>
          </w:p>
        </w:tc>
        <w:tc>
          <w:tcPr>
            <w:tcW w:w="2137" w:type="dxa"/>
            <w:vAlign w:val="center"/>
          </w:tcPr>
          <w:p w14:paraId="7EC5DF6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37" w:type="dxa"/>
            <w:tcBorders>
              <w:right w:val="single" w:color="auto" w:sz="4" w:space="0"/>
            </w:tcBorders>
            <w:vAlign w:val="center"/>
          </w:tcPr>
          <w:p w14:paraId="03F5F69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88" w:type="dxa"/>
            <w:tcBorders>
              <w:left w:val="single" w:color="auto" w:sz="4" w:space="0"/>
            </w:tcBorders>
            <w:vAlign w:val="center"/>
          </w:tcPr>
          <w:p w14:paraId="1A248D1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3EB28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27" w:hRule="atLeast"/>
          <w:jc w:val="center"/>
        </w:trPr>
        <w:tc>
          <w:tcPr>
            <w:tcW w:w="911" w:type="dxa"/>
            <w:vAlign w:val="center"/>
          </w:tcPr>
          <w:p w14:paraId="416D122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339" w:type="dxa"/>
            <w:vAlign w:val="center"/>
          </w:tcPr>
          <w:p w14:paraId="4F544BF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女性</w:t>
            </w:r>
          </w:p>
        </w:tc>
        <w:tc>
          <w:tcPr>
            <w:tcW w:w="1302" w:type="dxa"/>
            <w:vAlign w:val="center"/>
          </w:tcPr>
          <w:p w14:paraId="2BF784A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91人</w:t>
            </w:r>
          </w:p>
        </w:tc>
        <w:tc>
          <w:tcPr>
            <w:tcW w:w="2137" w:type="dxa"/>
            <w:vAlign w:val="center"/>
          </w:tcPr>
          <w:p w14:paraId="41F5D8D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337" w:type="dxa"/>
            <w:tcBorders>
              <w:right w:val="single" w:color="auto" w:sz="4" w:space="0"/>
            </w:tcBorders>
            <w:vAlign w:val="center"/>
          </w:tcPr>
          <w:p w14:paraId="2B54F77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88" w:type="dxa"/>
            <w:tcBorders>
              <w:left w:val="single" w:color="auto" w:sz="4" w:space="0"/>
            </w:tcBorders>
            <w:vAlign w:val="center"/>
          </w:tcPr>
          <w:p w14:paraId="77858DA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5B8B61C4">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rPr>
        <w:t xml:space="preserve">第三条  </w:t>
      </w:r>
      <w:r>
        <w:rPr>
          <w:rFonts w:hint="eastAsia" w:cs="宋体"/>
          <w:b/>
          <w:bCs/>
          <w:kern w:val="0"/>
          <w:sz w:val="21"/>
          <w:szCs w:val="21"/>
          <w:lang w:val="en-US" w:eastAsia="zh-CN"/>
        </w:rPr>
        <w:t>款项结算</w:t>
      </w:r>
    </w:p>
    <w:p w14:paraId="74045D73">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1、付款方式：全部体检完成并</w:t>
      </w:r>
      <w:r>
        <w:rPr>
          <w:rFonts w:hint="eastAsia" w:cs="宋体"/>
          <w:kern w:val="0"/>
          <w:sz w:val="21"/>
          <w:szCs w:val="21"/>
          <w:lang w:val="en-US" w:eastAsia="zh-CN"/>
        </w:rPr>
        <w:t>出具</w:t>
      </w:r>
      <w:r>
        <w:rPr>
          <w:rFonts w:hint="eastAsia" w:ascii="宋体" w:hAnsi="宋体" w:eastAsia="宋体" w:cs="宋体"/>
          <w:kern w:val="0"/>
          <w:sz w:val="21"/>
          <w:szCs w:val="21"/>
        </w:rPr>
        <w:t xml:space="preserve">专业的体检报告，经甲方确定乙方无违约行为后据实结算，达到付款条件起 </w:t>
      </w:r>
      <w:r>
        <w:rPr>
          <w:rFonts w:hint="eastAsia" w:cs="宋体"/>
          <w:kern w:val="0"/>
          <w:sz w:val="21"/>
          <w:szCs w:val="21"/>
          <w:lang w:val="en-US" w:eastAsia="zh-CN"/>
        </w:rPr>
        <w:t>45</w:t>
      </w:r>
      <w:r>
        <w:rPr>
          <w:rFonts w:hint="eastAsia" w:ascii="宋体" w:hAnsi="宋体" w:eastAsia="宋体" w:cs="宋体"/>
          <w:kern w:val="0"/>
          <w:sz w:val="21"/>
          <w:szCs w:val="21"/>
        </w:rPr>
        <w:t xml:space="preserve"> 日内，支付</w:t>
      </w:r>
      <w:r>
        <w:rPr>
          <w:rFonts w:hint="eastAsia" w:cs="宋体"/>
          <w:kern w:val="0"/>
          <w:sz w:val="21"/>
          <w:szCs w:val="21"/>
          <w:lang w:val="en-US" w:eastAsia="zh-CN"/>
        </w:rPr>
        <w:t>结算</w:t>
      </w:r>
      <w:r>
        <w:rPr>
          <w:rFonts w:hint="eastAsia" w:ascii="宋体" w:hAnsi="宋体" w:eastAsia="宋体" w:cs="宋体"/>
          <w:kern w:val="0"/>
          <w:sz w:val="21"/>
          <w:szCs w:val="21"/>
        </w:rPr>
        <w:t>金额的 100.00%。</w:t>
      </w:r>
    </w:p>
    <w:p w14:paraId="4D425AF2">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2、付款依据：</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提供的等额发票。</w:t>
      </w:r>
    </w:p>
    <w:p w14:paraId="1302F321">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default" w:ascii="宋体" w:hAnsi="宋体" w:eastAsia="宋体" w:cs="宋体"/>
          <w:kern w:val="0"/>
          <w:sz w:val="21"/>
          <w:szCs w:val="21"/>
          <w:lang w:val="en-US" w:eastAsia="zh-CN"/>
        </w:rPr>
      </w:pPr>
      <w:r>
        <w:rPr>
          <w:rFonts w:hint="eastAsia" w:cs="宋体"/>
          <w:kern w:val="0"/>
          <w:sz w:val="21"/>
          <w:szCs w:val="21"/>
          <w:lang w:val="en-US" w:eastAsia="zh-CN"/>
        </w:rPr>
        <w:t>3</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支付方式：银行转账</w:t>
      </w:r>
    </w:p>
    <w:p w14:paraId="5C380B1F">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rPr>
      </w:pPr>
      <w:r>
        <w:rPr>
          <w:rFonts w:hint="eastAsia" w:cs="宋体"/>
          <w:kern w:val="0"/>
          <w:sz w:val="21"/>
          <w:szCs w:val="21"/>
          <w:lang w:val="en-US" w:eastAsia="zh-CN"/>
        </w:rPr>
        <w:t>4</w:t>
      </w:r>
      <w:r>
        <w:rPr>
          <w:rFonts w:hint="eastAsia" w:ascii="宋体" w:hAnsi="宋体" w:eastAsia="宋体" w:cs="宋体"/>
          <w:kern w:val="0"/>
          <w:sz w:val="21"/>
          <w:szCs w:val="21"/>
        </w:rPr>
        <w:t>、结算方式：依据实际参与体检的人数及对应的合同单价据实结算。</w:t>
      </w:r>
    </w:p>
    <w:p w14:paraId="2B3942E5">
      <w:pPr>
        <w:pStyle w:val="2"/>
        <w:rPr>
          <w:rFonts w:hint="eastAsia" w:ascii="宋体" w:hAnsi="宋体" w:eastAsia="宋体" w:cs="宋体"/>
          <w:b/>
          <w:bCs/>
          <w:kern w:val="0"/>
          <w:sz w:val="21"/>
          <w:szCs w:val="21"/>
        </w:rPr>
      </w:pPr>
      <w:r>
        <w:rPr>
          <w:rFonts w:hint="eastAsia" w:ascii="宋体" w:hAnsi="宋体" w:eastAsia="宋体" w:cs="宋体"/>
          <w:b/>
          <w:bCs/>
          <w:kern w:val="0"/>
          <w:sz w:val="21"/>
          <w:szCs w:val="21"/>
        </w:rPr>
        <w:t>第四条  服务期限和服务地点</w:t>
      </w:r>
      <w:r>
        <w:rPr>
          <w:rFonts w:hint="eastAsia" w:ascii="宋体" w:hAnsi="宋体" w:eastAsia="宋体" w:cs="宋体"/>
          <w:b/>
          <w:bCs/>
          <w:kern w:val="0"/>
          <w:sz w:val="21"/>
          <w:szCs w:val="21"/>
          <w:lang w:eastAsia="zh-CN"/>
        </w:rPr>
        <w:t>、</w:t>
      </w:r>
      <w:r>
        <w:rPr>
          <w:rFonts w:hint="eastAsia" w:ascii="宋体" w:hAnsi="宋体" w:eastAsia="宋体" w:cs="宋体"/>
          <w:b/>
          <w:bCs/>
          <w:kern w:val="0"/>
          <w:sz w:val="21"/>
          <w:szCs w:val="21"/>
        </w:rPr>
        <w:t>验收</w:t>
      </w:r>
    </w:p>
    <w:p w14:paraId="7165805F">
      <w:pPr>
        <w:keepNext w:val="0"/>
        <w:keepLines w:val="0"/>
        <w:pageBreakBefore w:val="0"/>
        <w:widowControl/>
        <w:kinsoku/>
        <w:wordWrap/>
        <w:overflowPunct/>
        <w:topLinePunct w:val="0"/>
        <w:autoSpaceDE/>
        <w:autoSpaceDN/>
        <w:bidi w:val="0"/>
        <w:spacing w:beforeAutospacing="0" w:afterAutospacing="0" w:line="360" w:lineRule="auto"/>
        <w:ind w:firstLine="420" w:firstLineChars="200"/>
        <w:textAlignment w:val="auto"/>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1、</w:t>
      </w:r>
      <w:r>
        <w:rPr>
          <w:rFonts w:hint="eastAsia" w:ascii="宋体" w:hAnsi="宋体" w:eastAsia="宋体" w:cs="宋体"/>
          <w:kern w:val="0"/>
          <w:sz w:val="21"/>
          <w:szCs w:val="21"/>
          <w:highlight w:val="none"/>
          <w:lang w:val="en-US" w:eastAsia="zh-CN"/>
        </w:rPr>
        <w:t>服务期限：</w:t>
      </w:r>
      <w:r>
        <w:rPr>
          <w:rFonts w:hint="eastAsia" w:ascii="宋体" w:hAnsi="宋体" w:eastAsia="宋体" w:cs="宋体"/>
          <w:b w:val="0"/>
          <w:bCs/>
          <w:color w:val="auto"/>
          <w:kern w:val="0"/>
          <w:sz w:val="21"/>
          <w:szCs w:val="21"/>
          <w:highlight w:val="none"/>
          <w:u w:val="single"/>
          <w:lang w:val="en-US" w:eastAsia="zh-CN"/>
        </w:rPr>
        <w:t xml:space="preserve">           </w:t>
      </w:r>
    </w:p>
    <w:p w14:paraId="1ACE0F56">
      <w:pPr>
        <w:keepNext w:val="0"/>
        <w:keepLines w:val="0"/>
        <w:pageBreakBefore w:val="0"/>
        <w:widowControl/>
        <w:kinsoku/>
        <w:wordWrap/>
        <w:overflowPunct/>
        <w:topLinePunct w:val="0"/>
        <w:autoSpaceDE/>
        <w:autoSpaceDN/>
        <w:bidi w:val="0"/>
        <w:spacing w:beforeAutospacing="0" w:afterAutospacing="0" w:line="360" w:lineRule="auto"/>
        <w:ind w:firstLine="420" w:firstLineChars="20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针对已列入本项目体检名单的职工，若因符合法律法规规定的不可抗力因素,导致未能在上述服务期限内完成体检的，其体检服务可顺延。顺延期间的体检服务标准与原服务期限内保持一致。</w:t>
      </w:r>
    </w:p>
    <w:p w14:paraId="0DB3805D">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rPr>
        <w:t>2、服务地点：以</w:t>
      </w:r>
      <w:r>
        <w:rPr>
          <w:rFonts w:hint="eastAsia" w:cs="宋体"/>
          <w:kern w:val="0"/>
          <w:sz w:val="21"/>
          <w:szCs w:val="21"/>
          <w:lang w:val="en-US" w:eastAsia="zh-CN"/>
        </w:rPr>
        <w:t>乙方</w:t>
      </w:r>
      <w:r>
        <w:rPr>
          <w:rFonts w:hint="eastAsia" w:ascii="宋体" w:hAnsi="宋体" w:eastAsia="宋体" w:cs="宋体"/>
          <w:kern w:val="0"/>
          <w:sz w:val="21"/>
          <w:szCs w:val="21"/>
        </w:rPr>
        <w:t>提供的服务地点为准。</w:t>
      </w:r>
      <w:r>
        <w:rPr>
          <w:rFonts w:hint="eastAsia" w:cs="宋体"/>
          <w:kern w:val="0"/>
          <w:sz w:val="21"/>
          <w:szCs w:val="21"/>
          <w:lang w:val="en-US" w:eastAsia="zh-CN"/>
        </w:rPr>
        <w:t xml:space="preserve"> </w:t>
      </w:r>
    </w:p>
    <w:p w14:paraId="37504AE1">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3、验收标准：符合国家法律法规规定的标准、竞争性磋商文件和</w:t>
      </w:r>
      <w:r>
        <w:rPr>
          <w:rFonts w:hint="eastAsia" w:ascii="宋体" w:hAnsi="宋体" w:eastAsia="宋体" w:cs="宋体"/>
          <w:kern w:val="0"/>
          <w:sz w:val="21"/>
          <w:szCs w:val="21"/>
        </w:rPr>
        <w:fldChar w:fldCharType="begin"/>
      </w:r>
      <w:r>
        <w:rPr>
          <w:rFonts w:hint="eastAsia" w:ascii="宋体" w:hAnsi="宋体" w:eastAsia="宋体" w:cs="宋体"/>
          <w:kern w:val="0"/>
          <w:sz w:val="21"/>
          <w:szCs w:val="21"/>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kern w:val="0"/>
          <w:sz w:val="21"/>
          <w:szCs w:val="21"/>
        </w:rPr>
        <w:fldChar w:fldCharType="separate"/>
      </w:r>
      <w:r>
        <w:rPr>
          <w:rFonts w:hint="eastAsia" w:ascii="宋体" w:hAnsi="宋体" w:eastAsia="宋体" w:cs="宋体"/>
          <w:kern w:val="0"/>
          <w:sz w:val="21"/>
          <w:szCs w:val="21"/>
        </w:rPr>
        <w:t>乙方</w:t>
      </w:r>
      <w:r>
        <w:rPr>
          <w:rFonts w:hint="eastAsia" w:ascii="宋体" w:hAnsi="宋体" w:eastAsia="宋体" w:cs="宋体"/>
          <w:kern w:val="0"/>
          <w:sz w:val="21"/>
          <w:szCs w:val="21"/>
        </w:rPr>
        <w:fldChar w:fldCharType="end"/>
      </w:r>
      <w:r>
        <w:rPr>
          <w:rFonts w:hint="eastAsia" w:ascii="宋体" w:hAnsi="宋体" w:eastAsia="宋体" w:cs="宋体"/>
          <w:kern w:val="0"/>
          <w:sz w:val="21"/>
          <w:szCs w:val="21"/>
        </w:rPr>
        <w:t>竞争性磋商响应文件所承诺的</w:t>
      </w:r>
      <w:r>
        <w:rPr>
          <w:rFonts w:hint="eastAsia" w:ascii="宋体" w:hAnsi="宋体" w:eastAsia="宋体" w:cs="宋体"/>
          <w:kern w:val="0"/>
          <w:sz w:val="21"/>
          <w:szCs w:val="21"/>
        </w:rPr>
        <w:fldChar w:fldCharType="begin"/>
      </w:r>
      <w:r>
        <w:rPr>
          <w:rFonts w:hint="eastAsia" w:ascii="宋体" w:hAnsi="宋体" w:eastAsia="宋体" w:cs="宋体"/>
          <w:kern w:val="0"/>
          <w:sz w:val="21"/>
          <w:szCs w:val="21"/>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kern w:val="0"/>
          <w:sz w:val="21"/>
          <w:szCs w:val="21"/>
        </w:rPr>
        <w:fldChar w:fldCharType="separate"/>
      </w:r>
      <w:r>
        <w:rPr>
          <w:rFonts w:hint="eastAsia" w:ascii="宋体" w:hAnsi="宋体" w:eastAsia="宋体" w:cs="宋体"/>
          <w:kern w:val="0"/>
          <w:sz w:val="21"/>
          <w:szCs w:val="21"/>
        </w:rPr>
        <w:t>技术标准</w:t>
      </w:r>
      <w:r>
        <w:rPr>
          <w:rFonts w:hint="eastAsia" w:ascii="宋体" w:hAnsi="宋体" w:eastAsia="宋体" w:cs="宋体"/>
          <w:kern w:val="0"/>
          <w:sz w:val="21"/>
          <w:szCs w:val="21"/>
        </w:rPr>
        <w:fldChar w:fldCharType="end"/>
      </w:r>
      <w:r>
        <w:rPr>
          <w:rFonts w:hint="eastAsia" w:ascii="宋体" w:hAnsi="宋体" w:eastAsia="宋体" w:cs="宋体"/>
          <w:kern w:val="0"/>
          <w:sz w:val="21"/>
          <w:szCs w:val="21"/>
        </w:rPr>
        <w:t>。</w:t>
      </w:r>
    </w:p>
    <w:p w14:paraId="29868E92">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第五条  甲乙双方的权利、义务</w:t>
      </w:r>
    </w:p>
    <w:p w14:paraId="6D1358E1">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一、甲方的权利及义务：</w:t>
      </w:r>
    </w:p>
    <w:p w14:paraId="45A85AFE">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1、组织员工有序的进行体检；</w:t>
      </w:r>
    </w:p>
    <w:p w14:paraId="478C7A44">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2、为乙方提供统一的员工信息电子表格；</w:t>
      </w:r>
    </w:p>
    <w:p w14:paraId="3AAC8D88">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3、体检结束时，按照实际参与人数支付乙方体</w:t>
      </w:r>
      <w:r>
        <w:rPr>
          <w:rFonts w:hint="eastAsia" w:ascii="宋体" w:hAnsi="宋体" w:eastAsia="宋体" w:cs="宋体"/>
          <w:sz w:val="21"/>
          <w:szCs w:val="21"/>
          <w:highlight w:val="none"/>
        </w:rPr>
        <w:t>检费用；</w:t>
      </w:r>
    </w:p>
    <w:p w14:paraId="110037DC">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二、乙方的权利及义务：</w:t>
      </w:r>
    </w:p>
    <w:p w14:paraId="7B9613CE">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1、乙方须按照体检项目内容及要求做好服务工作；</w:t>
      </w:r>
    </w:p>
    <w:p w14:paraId="4B9ACCE6">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2、乙方须在体检前将体检应注意的事项通知甲方；</w:t>
      </w:r>
    </w:p>
    <w:p w14:paraId="7E4D55FD">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3、乙方在体检中不得擅自修改体检项目；</w:t>
      </w:r>
    </w:p>
    <w:p w14:paraId="5F790D24">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cs="宋体"/>
          <w:sz w:val="21"/>
          <w:szCs w:val="21"/>
          <w:highlight w:val="none"/>
          <w:lang w:eastAsia="zh-CN"/>
        </w:rPr>
        <w:t>、</w:t>
      </w:r>
      <w:r>
        <w:rPr>
          <w:rFonts w:hint="eastAsia" w:ascii="宋体" w:hAnsi="宋体" w:eastAsia="宋体" w:cs="宋体"/>
          <w:sz w:val="21"/>
          <w:szCs w:val="21"/>
        </w:rPr>
        <w:t>体检过程中所需要的设备和耗材，全部由乙方提供，相关医疗器具必须符合国家规定标准；</w:t>
      </w:r>
    </w:p>
    <w:p w14:paraId="5ACC502C">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5、乙方负责组织具有医疗资质的医务人员对甲方员工进行体检；</w:t>
      </w:r>
    </w:p>
    <w:p w14:paraId="6CFF80D5">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6、乙方须按本项目要求组织体检，提供现场引导、指导服务，根据不同人群做出针对性编排，确保体检现场井然有序，便利高效。</w:t>
      </w:r>
    </w:p>
    <w:p w14:paraId="620955EF">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7、必须提供高质量营养早餐，未发生过不良体检事件和重大医疗事故；</w:t>
      </w:r>
    </w:p>
    <w:p w14:paraId="4C1F1050">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8、员工进行集中体检，体检地点在</w:t>
      </w:r>
      <w:r>
        <w:rPr>
          <w:rFonts w:hint="eastAsia" w:ascii="宋体" w:hAnsi="宋体" w:eastAsia="宋体" w:cs="宋体"/>
          <w:sz w:val="21"/>
          <w:szCs w:val="21"/>
          <w:lang w:val="en-US" w:eastAsia="zh-CN"/>
        </w:rPr>
        <w:t>乙方</w:t>
      </w:r>
      <w:r>
        <w:rPr>
          <w:rFonts w:hint="eastAsia" w:ascii="宋体" w:hAnsi="宋体" w:eastAsia="宋体" w:cs="宋体"/>
          <w:sz w:val="21"/>
          <w:szCs w:val="21"/>
        </w:rPr>
        <w:t>的体检机构，因工作原因未集体参加体检的，员工可自行进行体检，乙方应为体检员工保留此名额或兑换等额的体检卡；</w:t>
      </w:r>
    </w:p>
    <w:p w14:paraId="1C082985">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9、可针对体检人员中“三高”人群,免费提供慢性病的健康管理服务，并根据个人体检情况逐人提供个性化健康指导方案；</w:t>
      </w:r>
    </w:p>
    <w:p w14:paraId="569F1598">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10、体检人员要求自行增加体检项目的，可以予以增加，相关费用由体检人员自行支付；</w:t>
      </w:r>
    </w:p>
    <w:p w14:paraId="6744A9A0">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11、体检结束后15日历日内，向甲方提交体检报告；</w:t>
      </w:r>
    </w:p>
    <w:p w14:paraId="7517B404">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12、乙方在体检期间需驻派一名具有内科</w:t>
      </w:r>
      <w:r>
        <w:rPr>
          <w:rFonts w:hint="eastAsia" w:ascii="宋体" w:hAnsi="宋体" w:eastAsia="宋体" w:cs="宋体"/>
          <w:sz w:val="21"/>
          <w:szCs w:val="21"/>
          <w:u w:val="single"/>
        </w:rPr>
        <w:t xml:space="preserve">       </w:t>
      </w:r>
      <w:r>
        <w:rPr>
          <w:rFonts w:hint="eastAsia" w:ascii="宋体" w:hAnsi="宋体" w:eastAsia="宋体" w:cs="宋体"/>
          <w:sz w:val="21"/>
          <w:szCs w:val="21"/>
        </w:rPr>
        <w:t>医师作为现场咨询专家，要求专家耐心细致，能认真回答被检查人的相关问题，并且在出具体检报告后为体检员工提供报告解读服务；</w:t>
      </w:r>
    </w:p>
    <w:p w14:paraId="704A434B">
      <w:pPr>
        <w:keepNext w:val="0"/>
        <w:keepLines w:val="0"/>
        <w:pageBreakBefore w:val="0"/>
        <w:widowControl w:val="0"/>
        <w:kinsoku/>
        <w:wordWrap/>
        <w:overflowPunct/>
        <w:topLinePunct w:val="0"/>
        <w:autoSpaceDE/>
        <w:autoSpaceDN/>
        <w:bidi w:val="0"/>
        <w:adjustRightInd/>
        <w:spacing w:beforeAutospacing="0" w:afterAutospacing="0" w:line="360"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13、按甲方要求完成相应的员工健康档案的填写，交甲方存档，并为甲方完成员工终检统计表；</w:t>
      </w:r>
    </w:p>
    <w:p w14:paraId="4DFBEBDD">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14、乙方</w:t>
      </w:r>
      <w:r>
        <w:rPr>
          <w:rFonts w:hint="eastAsia" w:cs="宋体"/>
          <w:sz w:val="21"/>
          <w:szCs w:val="21"/>
          <w:lang w:val="en-US" w:eastAsia="zh-CN"/>
        </w:rPr>
        <w:t>应</w:t>
      </w:r>
      <w:r>
        <w:rPr>
          <w:rFonts w:hint="eastAsia" w:ascii="宋体" w:hAnsi="宋体" w:eastAsia="宋体" w:cs="宋体"/>
          <w:sz w:val="21"/>
          <w:szCs w:val="21"/>
        </w:rPr>
        <w:t>配备</w:t>
      </w:r>
      <w:r>
        <w:rPr>
          <w:rFonts w:hint="eastAsia" w:cs="宋体"/>
          <w:sz w:val="21"/>
          <w:szCs w:val="21"/>
          <w:lang w:val="en-US" w:eastAsia="zh-CN"/>
        </w:rPr>
        <w:t>与待检查项目专业匹配</w:t>
      </w:r>
      <w:r>
        <w:rPr>
          <w:rFonts w:hint="eastAsia" w:ascii="宋体" w:hAnsi="宋体" w:eastAsia="宋体" w:cs="宋体"/>
          <w:sz w:val="21"/>
          <w:szCs w:val="21"/>
        </w:rPr>
        <w:t>的医务人员</w:t>
      </w:r>
      <w:r>
        <w:rPr>
          <w:rFonts w:hint="eastAsia" w:cs="宋体"/>
          <w:sz w:val="21"/>
          <w:szCs w:val="21"/>
          <w:lang w:val="en-US" w:eastAsia="zh-CN"/>
        </w:rPr>
        <w:t>及高质量合规医疗器具为甲方提供体检服务</w:t>
      </w:r>
      <w:r>
        <w:rPr>
          <w:rFonts w:hint="eastAsia" w:ascii="宋体" w:hAnsi="宋体" w:eastAsia="宋体" w:cs="宋体"/>
          <w:sz w:val="21"/>
          <w:szCs w:val="21"/>
        </w:rPr>
        <w:t>，</w:t>
      </w:r>
      <w:r>
        <w:rPr>
          <w:rFonts w:hint="eastAsia" w:cs="宋体"/>
          <w:sz w:val="21"/>
          <w:szCs w:val="21"/>
          <w:lang w:val="en-US" w:eastAsia="zh-CN"/>
        </w:rPr>
        <w:t>否则甲方有权视为乙方违约，并要求乙方整改并提供合格要求的体检服务；因此产生的</w:t>
      </w:r>
      <w:r>
        <w:rPr>
          <w:rFonts w:hint="eastAsia" w:ascii="宋体" w:hAnsi="宋体" w:eastAsia="宋体" w:cs="宋体"/>
          <w:sz w:val="21"/>
          <w:szCs w:val="21"/>
        </w:rPr>
        <w:t>事故责任</w:t>
      </w:r>
      <w:r>
        <w:rPr>
          <w:rFonts w:hint="eastAsia" w:cs="宋体"/>
          <w:sz w:val="21"/>
          <w:szCs w:val="21"/>
          <w:lang w:val="en-US" w:eastAsia="zh-CN"/>
        </w:rPr>
        <w:t>等</w:t>
      </w:r>
      <w:r>
        <w:rPr>
          <w:rFonts w:hint="eastAsia" w:ascii="宋体" w:hAnsi="宋体" w:eastAsia="宋体" w:cs="宋体"/>
          <w:sz w:val="21"/>
          <w:szCs w:val="21"/>
        </w:rPr>
        <w:t>由乙方全权负责。</w:t>
      </w:r>
    </w:p>
    <w:p w14:paraId="1FF200B4">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第六条  违约责任</w:t>
      </w:r>
    </w:p>
    <w:p w14:paraId="3686B4B5">
      <w:pPr>
        <w:pStyle w:val="8"/>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20" w:firstLineChars="200"/>
        <w:textAlignment w:val="auto"/>
        <w:rPr>
          <w:rFonts w:hint="eastAsia" w:ascii="宋体" w:hAnsi="宋体" w:eastAsia="宋体" w:cs="宋体"/>
          <w:b w:val="0"/>
          <w:bCs w:val="0"/>
          <w:sz w:val="21"/>
          <w:szCs w:val="21"/>
          <w:lang w:val="en-US" w:eastAsia="en-US"/>
        </w:rPr>
      </w:pPr>
      <w:r>
        <w:rPr>
          <w:rFonts w:hint="eastAsia" w:ascii="宋体" w:hAnsi="宋体" w:eastAsia="宋体" w:cs="宋体"/>
          <w:b w:val="0"/>
          <w:bCs w:val="0"/>
          <w:sz w:val="21"/>
          <w:szCs w:val="21"/>
          <w:lang w:val="en-US" w:eastAsia="en-US"/>
        </w:rPr>
        <w:t>1.任何一方未履行本合同项下的条款均被视为违约。除因不可抗力（即因地震、火灾等自然灾害、战争、罢工、停电、政府和军队行为等）造成合同无法履行外，任何一方不得单方面中止合同。</w:t>
      </w:r>
    </w:p>
    <w:p w14:paraId="6331FC9F">
      <w:pPr>
        <w:pStyle w:val="8"/>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20" w:firstLineChars="200"/>
        <w:textAlignment w:val="auto"/>
        <w:rPr>
          <w:rFonts w:hint="eastAsia" w:ascii="宋体" w:hAnsi="宋体" w:eastAsia="宋体" w:cs="宋体"/>
          <w:b w:val="0"/>
          <w:bCs w:val="0"/>
          <w:sz w:val="21"/>
          <w:szCs w:val="21"/>
          <w:lang w:val="en-US" w:eastAsia="en-US"/>
        </w:rPr>
      </w:pPr>
      <w:r>
        <w:rPr>
          <w:rFonts w:hint="eastAsia" w:ascii="宋体" w:hAnsi="宋体" w:eastAsia="宋体" w:cs="宋体"/>
          <w:b w:val="0"/>
          <w:bCs w:val="0"/>
          <w:sz w:val="21"/>
          <w:szCs w:val="21"/>
          <w:lang w:val="en-US" w:eastAsia="en-US"/>
        </w:rPr>
        <w:t>2.任何一方违反合同所规定条款，均构成违约，违约方必须承担由此给对方造成的经济损失。</w:t>
      </w:r>
    </w:p>
    <w:p w14:paraId="06E6F029">
      <w:pPr>
        <w:pStyle w:val="8"/>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20" w:firstLineChars="200"/>
        <w:textAlignment w:val="auto"/>
        <w:rPr>
          <w:rFonts w:hint="eastAsia" w:ascii="宋体" w:hAnsi="宋体" w:eastAsia="宋体" w:cs="宋体"/>
          <w:b w:val="0"/>
          <w:bCs w:val="0"/>
          <w:sz w:val="21"/>
          <w:szCs w:val="21"/>
          <w:lang w:val="en-US" w:eastAsia="en-US"/>
        </w:rPr>
      </w:pPr>
      <w:r>
        <w:rPr>
          <w:rFonts w:hint="eastAsia" w:ascii="宋体" w:hAnsi="宋体" w:eastAsia="宋体" w:cs="宋体"/>
          <w:b w:val="0"/>
          <w:bCs w:val="0"/>
          <w:sz w:val="21"/>
          <w:szCs w:val="21"/>
          <w:lang w:val="en-US" w:eastAsia="en-US"/>
        </w:rPr>
        <w:t>3.乙方在履行本合同中给甲方、自身及第三者造成的任何损害，乙方应承担全部赔偿责任。</w:t>
      </w:r>
    </w:p>
    <w:p w14:paraId="414FEA26">
      <w:pPr>
        <w:pStyle w:val="8"/>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20" w:firstLineChars="200"/>
        <w:textAlignment w:val="auto"/>
        <w:rPr>
          <w:rFonts w:hint="eastAsia" w:ascii="宋体" w:hAnsi="宋体" w:eastAsia="宋体" w:cs="宋体"/>
          <w:b w:val="0"/>
          <w:bCs w:val="0"/>
          <w:sz w:val="21"/>
          <w:szCs w:val="21"/>
          <w:lang w:val="en-US" w:eastAsia="en-US"/>
        </w:rPr>
      </w:pPr>
      <w:r>
        <w:rPr>
          <w:rFonts w:hint="eastAsia" w:ascii="宋体" w:hAnsi="宋体" w:eastAsia="宋体" w:cs="宋体"/>
          <w:b w:val="0"/>
          <w:bCs w:val="0"/>
          <w:sz w:val="21"/>
          <w:szCs w:val="21"/>
          <w:lang w:val="en-US" w:eastAsia="en-US"/>
        </w:rPr>
        <w:t>4.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10F4A133">
      <w:pPr>
        <w:pStyle w:val="8"/>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20" w:firstLineChars="200"/>
        <w:textAlignment w:val="auto"/>
        <w:rPr>
          <w:rFonts w:hint="eastAsia" w:ascii="宋体" w:hAnsi="宋体" w:eastAsia="宋体" w:cs="宋体"/>
          <w:b w:val="0"/>
          <w:bCs w:val="0"/>
          <w:sz w:val="21"/>
          <w:szCs w:val="21"/>
          <w:lang w:val="en-US" w:eastAsia="en-US"/>
        </w:rPr>
      </w:pPr>
      <w:r>
        <w:rPr>
          <w:rFonts w:hint="eastAsia" w:ascii="宋体" w:hAnsi="宋体" w:eastAsia="宋体" w:cs="宋体"/>
          <w:b w:val="0"/>
          <w:bCs w:val="0"/>
          <w:sz w:val="21"/>
          <w:szCs w:val="21"/>
          <w:lang w:val="en-US" w:eastAsia="en-US"/>
        </w:rPr>
        <w:t>5.未按合同要求提供服务或服务质量不能满足本次项目要求，甲方有权终止合同和对乙方违约行为进行追究，同时按有关规定进行相应的处罚。</w:t>
      </w:r>
    </w:p>
    <w:p w14:paraId="78CD8CE5">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w:t>
      </w:r>
      <w:r>
        <w:rPr>
          <w:rFonts w:hint="eastAsia" w:ascii="宋体" w:hAnsi="宋体" w:cs="宋体"/>
          <w:b/>
          <w:bCs/>
          <w:kern w:val="0"/>
          <w:sz w:val="21"/>
          <w:szCs w:val="21"/>
          <w:lang w:val="en-US" w:eastAsia="zh-CN"/>
        </w:rPr>
        <w:t>七</w:t>
      </w:r>
      <w:r>
        <w:rPr>
          <w:rFonts w:hint="eastAsia" w:ascii="宋体" w:hAnsi="宋体" w:eastAsia="宋体" w:cs="宋体"/>
          <w:b/>
          <w:bCs/>
          <w:kern w:val="0"/>
          <w:sz w:val="21"/>
          <w:szCs w:val="21"/>
        </w:rPr>
        <w:t xml:space="preserve">条  </w:t>
      </w:r>
      <w:r>
        <w:rPr>
          <w:rFonts w:hint="eastAsia" w:ascii="宋体" w:hAnsi="宋体" w:eastAsia="宋体" w:cs="宋体"/>
          <w:b/>
          <w:bCs/>
          <w:kern w:val="0"/>
          <w:sz w:val="21"/>
          <w:szCs w:val="21"/>
          <w:lang w:val="en-US" w:eastAsia="zh-CN"/>
        </w:rPr>
        <w:t>解决合同纠纷的方式</w:t>
      </w:r>
    </w:p>
    <w:p w14:paraId="670E1B56">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0" w:firstLineChars="200"/>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 xml:space="preserve">1.本合同须经甲、乙双方的法定代表人（授权代表）在合同书上签字并加盖本单位公章后正式生效。 </w:t>
      </w:r>
    </w:p>
    <w:p w14:paraId="594D46BB">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0" w:firstLineChars="200"/>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 xml:space="preserve">2.合同生效后，甲、乙双方须严格执行本合同条款的规定，全面履行合同，违者按《中华人民共和国民法典》的有关规定承担相应责任。 </w:t>
      </w:r>
    </w:p>
    <w:p w14:paraId="020BEABC">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0" w:firstLineChars="200"/>
        <w:jc w:val="left"/>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3.</w:t>
      </w:r>
      <w:r>
        <w:rPr>
          <w:rFonts w:hint="eastAsia" w:ascii="宋体" w:hAnsi="宋体" w:eastAsia="宋体" w:cs="宋体"/>
          <w:b w:val="0"/>
          <w:bCs w:val="0"/>
          <w:kern w:val="0"/>
          <w:sz w:val="21"/>
          <w:szCs w:val="21"/>
        </w:rPr>
        <w:t>因本合同产生纠纷，如协商无法解决，双方均有权向</w:t>
      </w:r>
      <w:r>
        <w:rPr>
          <w:rFonts w:hint="eastAsia" w:ascii="宋体" w:hAnsi="宋体" w:eastAsia="宋体" w:cs="宋体"/>
          <w:b w:val="0"/>
          <w:bCs w:val="0"/>
          <w:kern w:val="0"/>
          <w:sz w:val="21"/>
          <w:szCs w:val="21"/>
          <w:lang w:val="en-US" w:eastAsia="zh-CN"/>
        </w:rPr>
        <w:t>甲方</w:t>
      </w:r>
      <w:r>
        <w:rPr>
          <w:rFonts w:hint="eastAsia" w:ascii="宋体" w:hAnsi="宋体" w:eastAsia="宋体" w:cs="宋体"/>
          <w:b w:val="0"/>
          <w:bCs w:val="0"/>
          <w:kern w:val="0"/>
          <w:sz w:val="21"/>
          <w:szCs w:val="21"/>
        </w:rPr>
        <w:t>所在地人民法院提起诉讼。</w:t>
      </w:r>
    </w:p>
    <w:p w14:paraId="2DF02B4B">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第</w:t>
      </w:r>
      <w:r>
        <w:rPr>
          <w:rFonts w:hint="eastAsia" w:ascii="宋体" w:hAnsi="宋体" w:cs="宋体"/>
          <w:b/>
          <w:bCs/>
          <w:kern w:val="0"/>
          <w:sz w:val="21"/>
          <w:szCs w:val="21"/>
          <w:lang w:val="en-US" w:eastAsia="zh-CN"/>
        </w:rPr>
        <w:t>八</w:t>
      </w:r>
      <w:r>
        <w:rPr>
          <w:rFonts w:hint="eastAsia" w:ascii="宋体" w:hAnsi="宋体" w:eastAsia="宋体" w:cs="宋体"/>
          <w:b/>
          <w:bCs/>
          <w:kern w:val="0"/>
          <w:sz w:val="21"/>
          <w:szCs w:val="21"/>
        </w:rPr>
        <w:t>条  监督和管理</w:t>
      </w:r>
    </w:p>
    <w:p w14:paraId="356FB349">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1.政府采购合同履行中，甲方需追加与合同标的相同服务的，在不改变合同其他条款的前提下，可以与乙方协商签订补充合同，但所有补充合同的采购金额不得超过原合同采购金额的百分之十。</w:t>
      </w:r>
    </w:p>
    <w:p w14:paraId="15D97B21">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2、甲乙双方均应自觉配合有关监督管理部门对合同履行情况的监督检查，如实反映情况，提供有关资料；否则，将对有关单位、当事人按照有关规定予以处罚。</w:t>
      </w:r>
    </w:p>
    <w:p w14:paraId="2A9FACEE">
      <w:pPr>
        <w:keepNext w:val="0"/>
        <w:keepLines w:val="0"/>
        <w:pageBreakBefore w:val="0"/>
        <w:widowControl/>
        <w:kinsoku/>
        <w:wordWrap/>
        <w:overflowPunct/>
        <w:topLinePunct w:val="0"/>
        <w:autoSpaceDE/>
        <w:autoSpaceDN/>
        <w:bidi w:val="0"/>
        <w:spacing w:beforeAutospacing="0" w:afterAutospacing="0" w:line="360" w:lineRule="auto"/>
        <w:ind w:right="-207" w:rightChars="-94" w:firstLine="422" w:firstLineChars="200"/>
        <w:jc w:val="left"/>
        <w:textAlignment w:val="auto"/>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rPr>
        <w:t>第</w:t>
      </w:r>
      <w:r>
        <w:rPr>
          <w:rFonts w:hint="eastAsia" w:ascii="宋体" w:hAnsi="宋体" w:cs="宋体"/>
          <w:b/>
          <w:bCs/>
          <w:kern w:val="0"/>
          <w:sz w:val="21"/>
          <w:szCs w:val="21"/>
          <w:lang w:val="en-US" w:eastAsia="zh-CN"/>
        </w:rPr>
        <w:t>九</w:t>
      </w:r>
      <w:r>
        <w:rPr>
          <w:rFonts w:hint="eastAsia" w:ascii="宋体" w:hAnsi="宋体" w:eastAsia="宋体" w:cs="宋体"/>
          <w:b/>
          <w:bCs/>
          <w:kern w:val="0"/>
          <w:sz w:val="21"/>
          <w:szCs w:val="21"/>
        </w:rPr>
        <w:t>条</w:t>
      </w:r>
      <w:r>
        <w:rPr>
          <w:rFonts w:hint="eastAsia" w:ascii="宋体" w:hAnsi="宋体" w:cs="宋体"/>
          <w:b/>
          <w:bCs/>
          <w:kern w:val="0"/>
          <w:sz w:val="21"/>
          <w:szCs w:val="21"/>
          <w:lang w:val="en-US" w:eastAsia="zh-CN"/>
        </w:rPr>
        <w:t xml:space="preserve"> 其他</w:t>
      </w:r>
    </w:p>
    <w:p w14:paraId="0938FF65">
      <w:pPr>
        <w:pStyle w:val="8"/>
        <w:keepNext w:val="0"/>
        <w:keepLines w:val="0"/>
        <w:pageBreakBefore w:val="0"/>
        <w:widowControl/>
        <w:kinsoku/>
        <w:wordWrap/>
        <w:overflowPunct/>
        <w:topLinePunct w:val="0"/>
        <w:autoSpaceDE/>
        <w:autoSpaceDN/>
        <w:bidi w:val="0"/>
        <w:spacing w:beforeAutospacing="0" w:afterAutospacing="0" w:line="360" w:lineRule="auto"/>
        <w:ind w:firstLine="560"/>
        <w:textAlignment w:val="auto"/>
        <w:rPr>
          <w:rFonts w:hint="eastAsia" w:ascii="宋体" w:hAnsi="宋体" w:eastAsia="宋体" w:cs="宋体"/>
          <w:sz w:val="21"/>
          <w:szCs w:val="21"/>
        </w:rPr>
      </w:pPr>
      <w:r>
        <w:rPr>
          <w:rFonts w:hint="eastAsia" w:ascii="宋体" w:hAnsi="宋体" w:eastAsia="宋体" w:cs="宋体"/>
          <w:kern w:val="0"/>
          <w:sz w:val="21"/>
          <w:szCs w:val="21"/>
        </w:rPr>
        <w:t>1、</w:t>
      </w:r>
      <w:r>
        <w:rPr>
          <w:rFonts w:hint="eastAsia" w:ascii="宋体" w:hAnsi="宋体" w:eastAsia="宋体" w:cs="宋体"/>
          <w:sz w:val="21"/>
          <w:szCs w:val="21"/>
        </w:rPr>
        <w:t>本合同未尽事宜，双方共同协商达成补充协议，补充协议和附件与本合同具有同等法律效力。</w:t>
      </w:r>
    </w:p>
    <w:p w14:paraId="2C9F4EC3">
      <w:pPr>
        <w:pStyle w:val="8"/>
        <w:keepNext w:val="0"/>
        <w:keepLines w:val="0"/>
        <w:pageBreakBefore w:val="0"/>
        <w:widowControl/>
        <w:kinsoku/>
        <w:wordWrap/>
        <w:overflowPunct/>
        <w:topLinePunct w:val="0"/>
        <w:autoSpaceDE/>
        <w:autoSpaceDN/>
        <w:bidi w:val="0"/>
        <w:spacing w:beforeAutospacing="0" w:afterAutospacing="0" w:line="360" w:lineRule="auto"/>
        <w:ind w:firstLine="560"/>
        <w:textAlignment w:val="auto"/>
        <w:rPr>
          <w:rFonts w:hint="eastAsia" w:ascii="宋体" w:hAnsi="宋体" w:eastAsia="宋体" w:cs="宋体"/>
          <w:sz w:val="21"/>
          <w:szCs w:val="21"/>
        </w:rPr>
      </w:pPr>
      <w:r>
        <w:rPr>
          <w:rFonts w:hint="eastAsia" w:hAnsi="宋体" w:eastAsia="宋体" w:cs="宋体"/>
          <w:sz w:val="21"/>
          <w:szCs w:val="21"/>
          <w:lang w:val="en-US" w:eastAsia="zh-CN"/>
        </w:rPr>
        <w:t>2</w:t>
      </w:r>
      <w:r>
        <w:rPr>
          <w:rFonts w:hint="eastAsia" w:ascii="宋体" w:hAnsi="宋体" w:eastAsia="宋体" w:cs="宋体"/>
          <w:sz w:val="21"/>
          <w:szCs w:val="21"/>
        </w:rPr>
        <w:t>、本协议一式</w:t>
      </w:r>
      <w:r>
        <w:rPr>
          <w:rFonts w:hint="eastAsia" w:eastAsia="宋体" w:cs="宋体"/>
          <w:sz w:val="21"/>
          <w:szCs w:val="21"/>
          <w:lang w:eastAsia="zh-CN"/>
        </w:rPr>
        <w:t>肆</w:t>
      </w:r>
      <w:r>
        <w:rPr>
          <w:rFonts w:hint="eastAsia" w:ascii="宋体" w:hAnsi="宋体" w:eastAsia="宋体" w:cs="宋体"/>
          <w:sz w:val="21"/>
          <w:szCs w:val="21"/>
        </w:rPr>
        <w:t>份，甲方</w:t>
      </w:r>
      <w:r>
        <w:rPr>
          <w:rFonts w:hint="eastAsia" w:eastAsia="宋体" w:cs="宋体"/>
          <w:sz w:val="21"/>
          <w:szCs w:val="21"/>
          <w:lang w:eastAsia="zh-CN"/>
        </w:rPr>
        <w:t>贰</w:t>
      </w:r>
      <w:r>
        <w:rPr>
          <w:rFonts w:hint="eastAsia" w:ascii="宋体" w:hAnsi="宋体" w:eastAsia="宋体" w:cs="宋体"/>
          <w:sz w:val="21"/>
          <w:szCs w:val="21"/>
        </w:rPr>
        <w:t>份，乙方</w:t>
      </w:r>
      <w:r>
        <w:rPr>
          <w:rFonts w:hint="eastAsia" w:eastAsia="宋体" w:cs="宋体"/>
          <w:sz w:val="21"/>
          <w:szCs w:val="21"/>
          <w:lang w:eastAsia="zh-CN"/>
        </w:rPr>
        <w:t>贰</w:t>
      </w:r>
      <w:r>
        <w:rPr>
          <w:rFonts w:hint="eastAsia" w:ascii="宋体" w:hAnsi="宋体" w:eastAsia="宋体" w:cs="宋体"/>
          <w:sz w:val="21"/>
          <w:szCs w:val="21"/>
        </w:rPr>
        <w:t>份；长期有效，双方签署后乙方要负长期保密义务，不得以协议或合同结束而终结。</w:t>
      </w:r>
    </w:p>
    <w:p w14:paraId="52045CA8">
      <w:pPr>
        <w:pStyle w:val="8"/>
        <w:keepNext w:val="0"/>
        <w:keepLines w:val="0"/>
        <w:pageBreakBefore w:val="0"/>
        <w:widowControl/>
        <w:kinsoku/>
        <w:wordWrap/>
        <w:overflowPunct/>
        <w:topLinePunct w:val="0"/>
        <w:autoSpaceDE/>
        <w:autoSpaceDN/>
        <w:bidi w:val="0"/>
        <w:spacing w:beforeAutospacing="0" w:afterAutospacing="0" w:line="360" w:lineRule="auto"/>
        <w:ind w:firstLine="560"/>
        <w:textAlignment w:val="auto"/>
        <w:rPr>
          <w:rFonts w:hint="eastAsia" w:ascii="宋体" w:hAnsi="宋体" w:eastAsia="宋体" w:cs="宋体"/>
          <w:sz w:val="21"/>
          <w:szCs w:val="21"/>
        </w:rPr>
      </w:pPr>
      <w:r>
        <w:rPr>
          <w:rFonts w:hint="eastAsia" w:hAnsi="宋体" w:eastAsia="宋体" w:cs="宋体"/>
          <w:sz w:val="21"/>
          <w:szCs w:val="21"/>
          <w:lang w:val="en-US" w:eastAsia="zh-CN"/>
        </w:rPr>
        <w:t>3</w:t>
      </w:r>
      <w:r>
        <w:rPr>
          <w:rFonts w:hint="eastAsia" w:ascii="宋体" w:hAnsi="宋体" w:eastAsia="宋体" w:cs="宋体"/>
          <w:sz w:val="21"/>
          <w:szCs w:val="21"/>
        </w:rPr>
        <w:t>、本合同自</w:t>
      </w:r>
      <w:r>
        <w:rPr>
          <w:rFonts w:hint="eastAsia" w:eastAsia="宋体" w:cs="宋体"/>
          <w:sz w:val="21"/>
          <w:szCs w:val="21"/>
          <w:lang w:val="en-US" w:eastAsia="zh-CN"/>
        </w:rPr>
        <w:t>双方签字盖章</w:t>
      </w:r>
      <w:r>
        <w:rPr>
          <w:rFonts w:hint="eastAsia" w:ascii="宋体" w:hAnsi="宋体" w:eastAsia="宋体" w:cs="宋体"/>
          <w:sz w:val="21"/>
          <w:szCs w:val="21"/>
        </w:rPr>
        <w:t>之日起生效。</w:t>
      </w:r>
    </w:p>
    <w:p w14:paraId="358439CF">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p>
    <w:p w14:paraId="65ABFD6A">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采购人(甲方)：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（公章）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供应商(乙方)：</w:t>
      </w:r>
      <w:r>
        <w:rPr>
          <w:rFonts w:hint="eastAsia" w:ascii="宋体" w:hAnsi="宋体" w:eastAsia="宋体" w:cs="宋体"/>
          <w:sz w:val="21"/>
          <w:szCs w:val="21"/>
          <w:u w:val="single"/>
        </w:rPr>
        <w:t xml:space="preserve">          </w:t>
      </w:r>
      <w:r>
        <w:rPr>
          <w:rFonts w:hint="eastAsia" w:ascii="宋体" w:hAnsi="宋体" w:eastAsia="宋体" w:cs="宋体"/>
          <w:sz w:val="21"/>
          <w:szCs w:val="21"/>
        </w:rPr>
        <w:t>（公章）</w:t>
      </w:r>
    </w:p>
    <w:p w14:paraId="41D49E7C">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法定代表人</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法定代表人</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p w14:paraId="48024A3C">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或</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委托代理人</w: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或</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委托代理人</w: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71EF997">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开户银行</w: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1"/>
          <w:szCs w:val="21"/>
        </w:rPr>
        <w:fldChar w:fldCharType="separate"/>
      </w:r>
      <w:r>
        <w:rPr>
          <w:rFonts w:hint="eastAsia" w:ascii="宋体" w:hAnsi="宋体" w:eastAsia="宋体" w:cs="宋体"/>
          <w:sz w:val="21"/>
          <w:szCs w:val="21"/>
        </w:rPr>
        <w:t>开户银行</w: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ED99ED0">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帐    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帐    号：</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95F041B">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电    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21B3350">
      <w:pPr>
        <w:keepNext w:val="0"/>
        <w:keepLines w:val="0"/>
        <w:pageBreakBefore w:val="0"/>
        <w:kinsoku/>
        <w:wordWrap/>
        <w:overflowPunct/>
        <w:topLinePunct w:val="0"/>
        <w:autoSpaceDE/>
        <w:autoSpaceDN/>
        <w:bidi w:val="0"/>
        <w:spacing w:beforeAutospacing="0" w:afterAutospacing="0" w:line="36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地    址：</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ADF3BCE">
      <w:pPr>
        <w:keepNext w:val="0"/>
        <w:keepLines w:val="0"/>
        <w:pageBreakBefore w:val="0"/>
        <w:widowControl/>
        <w:kinsoku/>
        <w:wordWrap/>
        <w:overflowPunct/>
        <w:topLinePunct w:val="0"/>
        <w:autoSpaceDE/>
        <w:autoSpaceDN/>
        <w:bidi w:val="0"/>
        <w:spacing w:beforeAutospacing="0" w:afterAutospacing="0" w:line="360" w:lineRule="auto"/>
        <w:ind w:firstLine="210" w:firstLineChars="100"/>
        <w:jc w:val="left"/>
        <w:textAlignment w:val="auto"/>
        <w:rPr>
          <w:rFonts w:hint="eastAsia" w:ascii="宋体" w:hAnsi="宋体" w:eastAsia="宋体" w:cs="宋体"/>
          <w:kern w:val="0"/>
          <w:sz w:val="21"/>
          <w:szCs w:val="21"/>
        </w:rPr>
      </w:pPr>
      <w:r>
        <w:rPr>
          <w:rFonts w:hint="eastAsia" w:ascii="宋体" w:hAnsi="宋体" w:eastAsia="宋体" w:cs="宋体"/>
          <w:sz w:val="21"/>
          <w:szCs w:val="21"/>
        </w:rPr>
        <w:t xml:space="preserve">时    间：  年月日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时    间： 年月日</w:t>
      </w:r>
    </w:p>
    <w:p w14:paraId="4F261123">
      <w:pPr>
        <w:pStyle w:val="8"/>
        <w:widowControl/>
        <w:rPr>
          <w:rFonts w:hint="eastAsia" w:ascii="宋体" w:hAnsi="宋体" w:eastAsia="宋体" w:cs="宋体"/>
          <w:kern w:val="2"/>
          <w:sz w:val="21"/>
          <w:szCs w:val="21"/>
        </w:rPr>
      </w:pPr>
      <w:r>
        <w:rPr>
          <w:rFonts w:hint="eastAsia" w:ascii="宋体" w:hAnsi="宋体" w:eastAsia="宋体" w:cs="宋体"/>
          <w:kern w:val="2"/>
          <w:sz w:val="21"/>
          <w:szCs w:val="21"/>
        </w:rPr>
        <w:br w:type="page"/>
      </w:r>
      <w:r>
        <w:rPr>
          <w:rFonts w:hint="eastAsia" w:ascii="宋体" w:hAnsi="宋体" w:eastAsia="宋体" w:cs="宋体"/>
          <w:kern w:val="2"/>
          <w:sz w:val="21"/>
          <w:szCs w:val="21"/>
        </w:rPr>
        <w:t>附件</w:t>
      </w:r>
      <w:r>
        <w:rPr>
          <w:rFonts w:hint="eastAsia" w:eastAsia="宋体" w:cs="宋体"/>
          <w:kern w:val="2"/>
          <w:sz w:val="21"/>
          <w:szCs w:val="21"/>
          <w:lang w:eastAsia="zh-CN"/>
        </w:rPr>
        <w:t>一</w:t>
      </w:r>
      <w:r>
        <w:rPr>
          <w:rFonts w:hint="eastAsia" w:ascii="宋体" w:hAnsi="宋体" w:eastAsia="宋体" w:cs="宋体"/>
          <w:kern w:val="2"/>
          <w:sz w:val="21"/>
          <w:szCs w:val="21"/>
        </w:rPr>
        <w:t>：</w:t>
      </w:r>
    </w:p>
    <w:tbl>
      <w:tblPr>
        <w:tblStyle w:val="5"/>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437"/>
        <w:gridCol w:w="755"/>
        <w:gridCol w:w="1193"/>
        <w:gridCol w:w="4216"/>
        <w:gridCol w:w="651"/>
        <w:gridCol w:w="705"/>
        <w:gridCol w:w="565"/>
      </w:tblGrid>
      <w:tr w14:paraId="505DE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24" w:hRule="atLeast"/>
        </w:trPr>
        <w:tc>
          <w:tcPr>
            <w:tcW w:w="5000" w:type="pct"/>
            <w:gridSpan w:val="7"/>
            <w:tcBorders>
              <w:tl2br w:val="nil"/>
              <w:tr2bl w:val="nil"/>
            </w:tcBorders>
            <w:shd w:val="clear" w:color="auto" w:fill="auto"/>
            <w:noWrap/>
            <w:vAlign w:val="center"/>
          </w:tcPr>
          <w:p w14:paraId="655E350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24"/>
                <w:szCs w:val="24"/>
                <w:u w:val="none"/>
                <w:lang w:val="en-US" w:eastAsia="zh-CN" w:bidi="ar"/>
              </w:rPr>
              <w:t>体检方案</w:t>
            </w:r>
          </w:p>
        </w:tc>
      </w:tr>
      <w:tr w14:paraId="7B9CF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2" w:hRule="atLeast"/>
        </w:trPr>
        <w:tc>
          <w:tcPr>
            <w:tcW w:w="289" w:type="pct"/>
            <w:tcBorders>
              <w:tl2br w:val="nil"/>
              <w:tr2bl w:val="nil"/>
            </w:tcBorders>
            <w:shd w:val="clear" w:color="auto" w:fill="auto"/>
            <w:vAlign w:val="center"/>
          </w:tcPr>
          <w:p w14:paraId="19A8A1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90" w:type="pct"/>
            <w:gridSpan w:val="2"/>
            <w:tcBorders>
              <w:tl2br w:val="nil"/>
              <w:tr2bl w:val="nil"/>
            </w:tcBorders>
            <w:shd w:val="clear" w:color="auto" w:fill="auto"/>
            <w:vAlign w:val="center"/>
          </w:tcPr>
          <w:p w14:paraId="6738BD1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2116" w:type="pct"/>
            <w:tcBorders>
              <w:tl2br w:val="nil"/>
              <w:tr2bl w:val="nil"/>
            </w:tcBorders>
            <w:shd w:val="clear" w:color="auto" w:fill="auto"/>
            <w:vAlign w:val="center"/>
          </w:tcPr>
          <w:p w14:paraId="3D4345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项目意义</w:t>
            </w:r>
          </w:p>
        </w:tc>
        <w:tc>
          <w:tcPr>
            <w:tcW w:w="441" w:type="pct"/>
            <w:tcBorders>
              <w:tl2br w:val="nil"/>
              <w:tr2bl w:val="nil"/>
            </w:tcBorders>
            <w:shd w:val="clear" w:color="auto" w:fill="auto"/>
            <w:vAlign w:val="center"/>
          </w:tcPr>
          <w:p w14:paraId="7052183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Style w:val="9"/>
                <w:lang w:val="en-US" w:eastAsia="zh-CN" w:bidi="ar"/>
              </w:rPr>
              <w:t>男性</w:t>
            </w:r>
            <w:r>
              <w:rPr>
                <w:rStyle w:val="10"/>
                <w:lang w:val="en-US" w:eastAsia="zh-CN" w:bidi="ar"/>
              </w:rPr>
              <w:t xml:space="preserve"> </w:t>
            </w:r>
          </w:p>
        </w:tc>
        <w:tc>
          <w:tcPr>
            <w:tcW w:w="473" w:type="pct"/>
            <w:tcBorders>
              <w:tl2br w:val="nil"/>
              <w:tr2bl w:val="nil"/>
            </w:tcBorders>
            <w:shd w:val="clear" w:color="auto" w:fill="auto"/>
            <w:vAlign w:val="center"/>
          </w:tcPr>
          <w:p w14:paraId="1DE00FB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女已婚</w:t>
            </w:r>
          </w:p>
        </w:tc>
        <w:tc>
          <w:tcPr>
            <w:tcW w:w="388" w:type="pct"/>
            <w:tcBorders>
              <w:tl2br w:val="nil"/>
              <w:tr2bl w:val="nil"/>
            </w:tcBorders>
            <w:shd w:val="clear" w:color="auto" w:fill="auto"/>
            <w:vAlign w:val="center"/>
          </w:tcPr>
          <w:p w14:paraId="0AE6DF5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女未婚</w:t>
            </w:r>
          </w:p>
        </w:tc>
      </w:tr>
      <w:tr w14:paraId="24C1E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78389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30" w:type="pct"/>
            <w:vMerge w:val="restart"/>
            <w:tcBorders>
              <w:tl2br w:val="nil"/>
              <w:tr2bl w:val="nil"/>
            </w:tcBorders>
            <w:shd w:val="clear" w:color="auto" w:fill="auto"/>
            <w:vAlign w:val="center"/>
          </w:tcPr>
          <w:p w14:paraId="794F9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基础检查</w:t>
            </w:r>
          </w:p>
        </w:tc>
        <w:tc>
          <w:tcPr>
            <w:tcW w:w="760" w:type="pct"/>
            <w:tcBorders>
              <w:tl2br w:val="nil"/>
              <w:tr2bl w:val="nil"/>
            </w:tcBorders>
            <w:shd w:val="clear" w:color="auto" w:fill="auto"/>
            <w:vAlign w:val="center"/>
          </w:tcPr>
          <w:p w14:paraId="5A909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一般检查</w:t>
            </w:r>
          </w:p>
        </w:tc>
        <w:tc>
          <w:tcPr>
            <w:tcW w:w="2116" w:type="pct"/>
            <w:tcBorders>
              <w:tl2br w:val="nil"/>
              <w:tr2bl w:val="nil"/>
            </w:tcBorders>
            <w:shd w:val="clear" w:color="auto" w:fill="auto"/>
            <w:vAlign w:val="center"/>
          </w:tcPr>
          <w:p w14:paraId="215086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测定身高/体重、血压、腰围，体重指数等，初步筛查高血压</w:t>
            </w:r>
          </w:p>
        </w:tc>
        <w:tc>
          <w:tcPr>
            <w:tcW w:w="879" w:type="dxa"/>
            <w:tcBorders>
              <w:tl2br w:val="nil"/>
              <w:tr2bl w:val="nil"/>
            </w:tcBorders>
            <w:shd w:val="clear" w:color="auto" w:fill="auto"/>
            <w:vAlign w:val="center"/>
          </w:tcPr>
          <w:p w14:paraId="14DBBF92">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942" w:type="dxa"/>
            <w:tcBorders>
              <w:tl2br w:val="nil"/>
              <w:tr2bl w:val="nil"/>
            </w:tcBorders>
            <w:shd w:val="clear" w:color="auto" w:fill="auto"/>
            <w:vAlign w:val="center"/>
          </w:tcPr>
          <w:p w14:paraId="78FECE40">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779" w:type="dxa"/>
            <w:tcBorders>
              <w:tl2br w:val="nil"/>
              <w:tr2bl w:val="nil"/>
            </w:tcBorders>
            <w:shd w:val="clear" w:color="auto" w:fill="auto"/>
            <w:vAlign w:val="center"/>
          </w:tcPr>
          <w:p w14:paraId="3A03B895">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0D114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4DE6F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30" w:type="pct"/>
            <w:vMerge w:val="continue"/>
            <w:tcBorders>
              <w:tl2br w:val="nil"/>
              <w:tr2bl w:val="nil"/>
            </w:tcBorders>
            <w:shd w:val="clear" w:color="auto" w:fill="auto"/>
            <w:vAlign w:val="center"/>
          </w:tcPr>
          <w:p w14:paraId="4ED239C8">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noWrap/>
            <w:vAlign w:val="center"/>
          </w:tcPr>
          <w:p w14:paraId="057DC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内科</w:t>
            </w:r>
          </w:p>
        </w:tc>
        <w:tc>
          <w:tcPr>
            <w:tcW w:w="2116" w:type="pct"/>
            <w:tcBorders>
              <w:tl2br w:val="nil"/>
              <w:tr2bl w:val="nil"/>
            </w:tcBorders>
            <w:shd w:val="clear" w:color="auto" w:fill="auto"/>
            <w:vAlign w:val="center"/>
          </w:tcPr>
          <w:p w14:paraId="1F93FC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用于了解胸部、心肺听诊、肠鸣音、心率、杂音、心律、肝、脾腹壁静脉曲张等情况</w:t>
            </w:r>
          </w:p>
        </w:tc>
        <w:tc>
          <w:tcPr>
            <w:tcW w:w="879" w:type="dxa"/>
            <w:tcBorders>
              <w:tl2br w:val="nil"/>
              <w:tr2bl w:val="nil"/>
            </w:tcBorders>
            <w:shd w:val="clear" w:color="auto" w:fill="auto"/>
            <w:vAlign w:val="center"/>
          </w:tcPr>
          <w:p w14:paraId="38ECBBF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942" w:type="dxa"/>
            <w:tcBorders>
              <w:tl2br w:val="nil"/>
              <w:tr2bl w:val="nil"/>
            </w:tcBorders>
            <w:shd w:val="clear" w:color="auto" w:fill="auto"/>
            <w:vAlign w:val="center"/>
          </w:tcPr>
          <w:p w14:paraId="280EBD0C">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779" w:type="dxa"/>
            <w:tcBorders>
              <w:tl2br w:val="nil"/>
              <w:tr2bl w:val="nil"/>
            </w:tcBorders>
            <w:shd w:val="clear" w:color="auto" w:fill="auto"/>
            <w:vAlign w:val="center"/>
          </w:tcPr>
          <w:p w14:paraId="542F5B9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43E6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1474C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30" w:type="pct"/>
            <w:vMerge w:val="continue"/>
            <w:tcBorders>
              <w:tl2br w:val="nil"/>
              <w:tr2bl w:val="nil"/>
            </w:tcBorders>
            <w:shd w:val="clear" w:color="auto" w:fill="auto"/>
            <w:vAlign w:val="center"/>
          </w:tcPr>
          <w:p w14:paraId="0BE03B72">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0A9BA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外科</w:t>
            </w:r>
          </w:p>
        </w:tc>
        <w:tc>
          <w:tcPr>
            <w:tcW w:w="2116" w:type="pct"/>
            <w:tcBorders>
              <w:tl2br w:val="nil"/>
              <w:tr2bl w:val="nil"/>
            </w:tcBorders>
            <w:shd w:val="clear" w:color="auto" w:fill="auto"/>
            <w:vAlign w:val="center"/>
          </w:tcPr>
          <w:p w14:paraId="47217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主要用于甲状腺,淋巴结,乳腺,脊柱,四肢关节,肛门、直肠和皮肤等出现病症的人群</w:t>
            </w:r>
          </w:p>
        </w:tc>
        <w:tc>
          <w:tcPr>
            <w:tcW w:w="879" w:type="dxa"/>
            <w:tcBorders>
              <w:tl2br w:val="nil"/>
              <w:tr2bl w:val="nil"/>
            </w:tcBorders>
            <w:shd w:val="clear" w:color="auto" w:fill="auto"/>
            <w:vAlign w:val="center"/>
          </w:tcPr>
          <w:p w14:paraId="4082D5F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942" w:type="dxa"/>
            <w:tcBorders>
              <w:tl2br w:val="nil"/>
              <w:tr2bl w:val="nil"/>
            </w:tcBorders>
            <w:shd w:val="clear" w:color="auto" w:fill="auto"/>
            <w:vAlign w:val="center"/>
          </w:tcPr>
          <w:p w14:paraId="1D31734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779" w:type="dxa"/>
            <w:tcBorders>
              <w:tl2br w:val="nil"/>
              <w:tr2bl w:val="nil"/>
            </w:tcBorders>
            <w:shd w:val="clear" w:color="auto" w:fill="auto"/>
            <w:vAlign w:val="center"/>
          </w:tcPr>
          <w:p w14:paraId="55DC34C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0B6B7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733E8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0" w:type="pct"/>
            <w:vMerge w:val="continue"/>
            <w:tcBorders>
              <w:tl2br w:val="nil"/>
              <w:tr2bl w:val="nil"/>
            </w:tcBorders>
            <w:shd w:val="clear" w:color="auto" w:fill="auto"/>
            <w:vAlign w:val="center"/>
          </w:tcPr>
          <w:p w14:paraId="714370E3">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462B6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眼科</w:t>
            </w:r>
          </w:p>
        </w:tc>
        <w:tc>
          <w:tcPr>
            <w:tcW w:w="2116" w:type="pct"/>
            <w:tcBorders>
              <w:tl2br w:val="nil"/>
              <w:tr2bl w:val="nil"/>
            </w:tcBorders>
            <w:shd w:val="clear" w:color="auto" w:fill="auto"/>
            <w:vAlign w:val="center"/>
          </w:tcPr>
          <w:p w14:paraId="141F9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包括一般视力检查、外眼及内眼检查</w:t>
            </w:r>
          </w:p>
        </w:tc>
        <w:tc>
          <w:tcPr>
            <w:tcW w:w="879" w:type="dxa"/>
            <w:tcBorders>
              <w:tl2br w:val="nil"/>
              <w:tr2bl w:val="nil"/>
            </w:tcBorders>
            <w:shd w:val="clear" w:color="auto" w:fill="auto"/>
            <w:vAlign w:val="center"/>
          </w:tcPr>
          <w:p w14:paraId="35AB0AC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942" w:type="dxa"/>
            <w:tcBorders>
              <w:tl2br w:val="nil"/>
              <w:tr2bl w:val="nil"/>
            </w:tcBorders>
            <w:shd w:val="clear" w:color="auto" w:fill="auto"/>
            <w:vAlign w:val="center"/>
          </w:tcPr>
          <w:p w14:paraId="14CF8BC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779" w:type="dxa"/>
            <w:tcBorders>
              <w:tl2br w:val="nil"/>
              <w:tr2bl w:val="nil"/>
            </w:tcBorders>
            <w:shd w:val="clear" w:color="auto" w:fill="auto"/>
            <w:vAlign w:val="center"/>
          </w:tcPr>
          <w:p w14:paraId="7791306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1F858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DAA0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30" w:type="pct"/>
            <w:vMerge w:val="continue"/>
            <w:tcBorders>
              <w:tl2br w:val="nil"/>
              <w:tr2bl w:val="nil"/>
            </w:tcBorders>
            <w:shd w:val="clear" w:color="auto" w:fill="auto"/>
            <w:vAlign w:val="center"/>
          </w:tcPr>
          <w:p w14:paraId="3028C2A5">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0105C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裂隙灯</w:t>
            </w:r>
          </w:p>
        </w:tc>
        <w:tc>
          <w:tcPr>
            <w:tcW w:w="2116" w:type="pct"/>
            <w:tcBorders>
              <w:tl2br w:val="nil"/>
              <w:tr2bl w:val="nil"/>
            </w:tcBorders>
            <w:shd w:val="clear" w:color="auto" w:fill="auto"/>
            <w:vAlign w:val="center"/>
          </w:tcPr>
          <w:p w14:paraId="0822A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是眼科常规检查，主要用于角膜、结膜、巩膜、前房相关疾病以及白内障、眼部外伤筛查等。</w:t>
            </w:r>
          </w:p>
        </w:tc>
        <w:tc>
          <w:tcPr>
            <w:tcW w:w="441" w:type="pct"/>
            <w:tcBorders>
              <w:tl2br w:val="nil"/>
              <w:tr2bl w:val="nil"/>
            </w:tcBorders>
            <w:shd w:val="clear" w:color="auto" w:fill="auto"/>
            <w:vAlign w:val="center"/>
          </w:tcPr>
          <w:p w14:paraId="3392F95A">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7994C58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0E9A10E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53A83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7F92F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530" w:type="pct"/>
            <w:vMerge w:val="continue"/>
            <w:tcBorders>
              <w:tl2br w:val="nil"/>
              <w:tr2bl w:val="nil"/>
            </w:tcBorders>
            <w:shd w:val="clear" w:color="auto" w:fill="auto"/>
            <w:vAlign w:val="center"/>
          </w:tcPr>
          <w:p w14:paraId="4A30ADC4">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2ACE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心电图</w:t>
            </w:r>
          </w:p>
        </w:tc>
        <w:tc>
          <w:tcPr>
            <w:tcW w:w="2116" w:type="pct"/>
            <w:tcBorders>
              <w:tl2br w:val="nil"/>
              <w:tr2bl w:val="nil"/>
            </w:tcBorders>
            <w:shd w:val="clear" w:color="auto" w:fill="auto"/>
            <w:vAlign w:val="center"/>
          </w:tcPr>
          <w:p w14:paraId="71C4C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筛查心律失常、心绞痛、心肌梗塞、冠心病、心肌缺血、心脏传导阻滞等心脏疾患</w:t>
            </w:r>
          </w:p>
        </w:tc>
        <w:tc>
          <w:tcPr>
            <w:tcW w:w="441" w:type="pct"/>
            <w:tcBorders>
              <w:tl2br w:val="nil"/>
              <w:tr2bl w:val="nil"/>
            </w:tcBorders>
            <w:shd w:val="clear" w:color="auto" w:fill="auto"/>
            <w:vAlign w:val="center"/>
          </w:tcPr>
          <w:p w14:paraId="4827228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147B321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19EC2DE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3DDBD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1FBE3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530" w:type="pct"/>
            <w:vMerge w:val="continue"/>
            <w:tcBorders>
              <w:tl2br w:val="nil"/>
              <w:tr2bl w:val="nil"/>
            </w:tcBorders>
            <w:shd w:val="clear" w:color="auto" w:fill="auto"/>
            <w:vAlign w:val="center"/>
          </w:tcPr>
          <w:p w14:paraId="1A427833">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37964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专家总检</w:t>
            </w:r>
          </w:p>
        </w:tc>
        <w:tc>
          <w:tcPr>
            <w:tcW w:w="2116" w:type="pct"/>
            <w:tcBorders>
              <w:tl2br w:val="nil"/>
              <w:tr2bl w:val="nil"/>
            </w:tcBorders>
            <w:shd w:val="clear" w:color="auto" w:fill="auto"/>
            <w:vAlign w:val="center"/>
          </w:tcPr>
          <w:p w14:paraId="33F54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总检医师出具专业、规范的主检报告、做出准确的健康结论、提供合理的保健建议</w:t>
            </w:r>
          </w:p>
        </w:tc>
        <w:tc>
          <w:tcPr>
            <w:tcW w:w="441" w:type="pct"/>
            <w:tcBorders>
              <w:tl2br w:val="nil"/>
              <w:tr2bl w:val="nil"/>
            </w:tcBorders>
            <w:shd w:val="clear" w:color="auto" w:fill="auto"/>
            <w:vAlign w:val="center"/>
          </w:tcPr>
          <w:p w14:paraId="3B991A6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730C226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3C187CE8">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62BA1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9C63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30" w:type="pct"/>
            <w:vMerge w:val="restart"/>
            <w:tcBorders>
              <w:tl2br w:val="nil"/>
              <w:tr2bl w:val="nil"/>
            </w:tcBorders>
            <w:shd w:val="clear" w:color="auto" w:fill="auto"/>
            <w:vAlign w:val="center"/>
          </w:tcPr>
          <w:p w14:paraId="0C7AD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血液检查</w:t>
            </w:r>
          </w:p>
        </w:tc>
        <w:tc>
          <w:tcPr>
            <w:tcW w:w="760" w:type="pct"/>
            <w:tcBorders>
              <w:tl2br w:val="nil"/>
              <w:tr2bl w:val="nil"/>
            </w:tcBorders>
            <w:shd w:val="clear" w:color="auto" w:fill="auto"/>
            <w:vAlign w:val="center"/>
          </w:tcPr>
          <w:p w14:paraId="29041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血细胞分析</w:t>
            </w:r>
          </w:p>
        </w:tc>
        <w:tc>
          <w:tcPr>
            <w:tcW w:w="2116" w:type="pct"/>
            <w:tcBorders>
              <w:tl2br w:val="nil"/>
              <w:tr2bl w:val="nil"/>
            </w:tcBorders>
            <w:shd w:val="clear" w:color="auto" w:fill="auto"/>
            <w:vAlign w:val="center"/>
          </w:tcPr>
          <w:p w14:paraId="18C760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通过血液分析可发现有无贫血、细菌感染、病毒感染、白血病等血液方面疾病</w:t>
            </w:r>
          </w:p>
        </w:tc>
        <w:tc>
          <w:tcPr>
            <w:tcW w:w="441" w:type="pct"/>
            <w:tcBorders>
              <w:tl2br w:val="nil"/>
              <w:tr2bl w:val="nil"/>
            </w:tcBorders>
            <w:shd w:val="clear" w:color="auto" w:fill="auto"/>
            <w:vAlign w:val="center"/>
          </w:tcPr>
          <w:p w14:paraId="39397008">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95C1BC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5433E8B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37DCC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25387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530" w:type="pct"/>
            <w:vMerge w:val="continue"/>
            <w:tcBorders>
              <w:tl2br w:val="nil"/>
              <w:tr2bl w:val="nil"/>
            </w:tcBorders>
            <w:shd w:val="clear" w:color="auto" w:fill="auto"/>
            <w:vAlign w:val="center"/>
          </w:tcPr>
          <w:p w14:paraId="0B72C473">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08EFB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尿常规</w:t>
            </w:r>
          </w:p>
        </w:tc>
        <w:tc>
          <w:tcPr>
            <w:tcW w:w="2116" w:type="pct"/>
            <w:tcBorders>
              <w:tl2br w:val="nil"/>
              <w:tr2bl w:val="nil"/>
            </w:tcBorders>
            <w:shd w:val="clear" w:color="auto" w:fill="auto"/>
            <w:vAlign w:val="center"/>
          </w:tcPr>
          <w:p w14:paraId="434CDB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诊断泌尿系统疾病，如泌尿系感染、肿瘤、结石等，还可以协助诊断其他系统疾病</w:t>
            </w:r>
          </w:p>
        </w:tc>
        <w:tc>
          <w:tcPr>
            <w:tcW w:w="441" w:type="pct"/>
            <w:tcBorders>
              <w:tl2br w:val="nil"/>
              <w:tr2bl w:val="nil"/>
            </w:tcBorders>
            <w:shd w:val="clear" w:color="auto" w:fill="auto"/>
            <w:vAlign w:val="center"/>
          </w:tcPr>
          <w:p w14:paraId="7D5260B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66BF140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38B198D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3B47E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308CB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30" w:type="pct"/>
            <w:vMerge w:val="continue"/>
            <w:tcBorders>
              <w:tl2br w:val="nil"/>
              <w:tr2bl w:val="nil"/>
            </w:tcBorders>
            <w:shd w:val="clear" w:color="auto" w:fill="auto"/>
            <w:vAlign w:val="center"/>
          </w:tcPr>
          <w:p w14:paraId="216B8637">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9A42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肝功10项</w:t>
            </w:r>
          </w:p>
        </w:tc>
        <w:tc>
          <w:tcPr>
            <w:tcW w:w="2116" w:type="pct"/>
            <w:tcBorders>
              <w:tl2br w:val="nil"/>
              <w:tr2bl w:val="nil"/>
            </w:tcBorders>
            <w:shd w:val="clear" w:color="auto" w:fill="auto"/>
            <w:vAlign w:val="center"/>
          </w:tcPr>
          <w:p w14:paraId="4DFC6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反映肝细胞的功能状态，可筛查肝脏炎症、胆道疾病、胆管结石等疾病</w:t>
            </w:r>
          </w:p>
        </w:tc>
        <w:tc>
          <w:tcPr>
            <w:tcW w:w="441" w:type="pct"/>
            <w:tcBorders>
              <w:tl2br w:val="nil"/>
              <w:tr2bl w:val="nil"/>
            </w:tcBorders>
            <w:shd w:val="clear" w:color="auto" w:fill="auto"/>
            <w:vAlign w:val="center"/>
          </w:tcPr>
          <w:p w14:paraId="2BD3594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44F6E4B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2B005E0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2798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6FED7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530" w:type="pct"/>
            <w:vMerge w:val="continue"/>
            <w:tcBorders>
              <w:tl2br w:val="nil"/>
              <w:tr2bl w:val="nil"/>
            </w:tcBorders>
            <w:shd w:val="clear" w:color="auto" w:fill="auto"/>
            <w:vAlign w:val="center"/>
          </w:tcPr>
          <w:p w14:paraId="09EE0900">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8EEA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肾功3项</w:t>
            </w:r>
          </w:p>
        </w:tc>
        <w:tc>
          <w:tcPr>
            <w:tcW w:w="2116" w:type="pct"/>
            <w:tcBorders>
              <w:tl2br w:val="nil"/>
              <w:tr2bl w:val="nil"/>
            </w:tcBorders>
            <w:shd w:val="clear" w:color="auto" w:fill="auto"/>
            <w:vAlign w:val="center"/>
          </w:tcPr>
          <w:p w14:paraId="37BE9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筛查肾脏是否受损，是否有肾功能减退或肾衰，有无痛风、高尿酸血症等疾病</w:t>
            </w:r>
          </w:p>
        </w:tc>
        <w:tc>
          <w:tcPr>
            <w:tcW w:w="441" w:type="pct"/>
            <w:tcBorders>
              <w:tl2br w:val="nil"/>
              <w:tr2bl w:val="nil"/>
            </w:tcBorders>
            <w:shd w:val="clear" w:color="auto" w:fill="auto"/>
            <w:vAlign w:val="center"/>
          </w:tcPr>
          <w:p w14:paraId="7CC193B7">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3837AFE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545AB90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3DD6D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6A645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530" w:type="pct"/>
            <w:vMerge w:val="continue"/>
            <w:tcBorders>
              <w:tl2br w:val="nil"/>
              <w:tr2bl w:val="nil"/>
            </w:tcBorders>
            <w:shd w:val="clear" w:color="auto" w:fill="auto"/>
            <w:vAlign w:val="center"/>
          </w:tcPr>
          <w:p w14:paraId="1BB69125">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1146D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血脂4项</w:t>
            </w:r>
          </w:p>
        </w:tc>
        <w:tc>
          <w:tcPr>
            <w:tcW w:w="2116" w:type="pct"/>
            <w:tcBorders>
              <w:tl2br w:val="nil"/>
              <w:tr2bl w:val="nil"/>
            </w:tcBorders>
            <w:shd w:val="clear" w:color="auto" w:fill="auto"/>
            <w:vAlign w:val="center"/>
          </w:tcPr>
          <w:p w14:paraId="2951CE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筛查有无高脂血症、血脂异常等</w:t>
            </w:r>
          </w:p>
        </w:tc>
        <w:tc>
          <w:tcPr>
            <w:tcW w:w="441" w:type="pct"/>
            <w:tcBorders>
              <w:tl2br w:val="nil"/>
              <w:tr2bl w:val="nil"/>
            </w:tcBorders>
            <w:shd w:val="clear" w:color="auto" w:fill="auto"/>
            <w:vAlign w:val="center"/>
          </w:tcPr>
          <w:p w14:paraId="4345D23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5DE980C">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7E1686B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2B065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01611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530" w:type="pct"/>
            <w:vMerge w:val="continue"/>
            <w:tcBorders>
              <w:tl2br w:val="nil"/>
              <w:tr2bl w:val="nil"/>
            </w:tcBorders>
            <w:shd w:val="clear" w:color="auto" w:fill="auto"/>
            <w:vAlign w:val="center"/>
          </w:tcPr>
          <w:p w14:paraId="49C5FF16">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237A9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空腹血糖</w:t>
            </w:r>
          </w:p>
        </w:tc>
        <w:tc>
          <w:tcPr>
            <w:tcW w:w="2116" w:type="pct"/>
            <w:tcBorders>
              <w:tl2br w:val="nil"/>
              <w:tr2bl w:val="nil"/>
            </w:tcBorders>
            <w:shd w:val="clear" w:color="auto" w:fill="auto"/>
            <w:vAlign w:val="center"/>
          </w:tcPr>
          <w:p w14:paraId="3DE77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空腹状态下血糖，看是否有糖尿病</w:t>
            </w:r>
          </w:p>
        </w:tc>
        <w:tc>
          <w:tcPr>
            <w:tcW w:w="441" w:type="pct"/>
            <w:tcBorders>
              <w:tl2br w:val="nil"/>
              <w:tr2bl w:val="nil"/>
            </w:tcBorders>
            <w:shd w:val="clear" w:color="auto" w:fill="auto"/>
            <w:vAlign w:val="center"/>
          </w:tcPr>
          <w:p w14:paraId="3B84DDAC">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569FAEF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147CC24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1E4E8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4B8C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30" w:type="pct"/>
            <w:vMerge w:val="continue"/>
            <w:tcBorders>
              <w:tl2br w:val="nil"/>
              <w:tr2bl w:val="nil"/>
            </w:tcBorders>
            <w:shd w:val="clear" w:color="auto" w:fill="auto"/>
            <w:vAlign w:val="center"/>
          </w:tcPr>
          <w:p w14:paraId="22F53594">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64134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糖化血红蛋白</w:t>
            </w:r>
          </w:p>
        </w:tc>
        <w:tc>
          <w:tcPr>
            <w:tcW w:w="2116" w:type="pct"/>
            <w:tcBorders>
              <w:tl2br w:val="nil"/>
              <w:tr2bl w:val="nil"/>
            </w:tcBorders>
            <w:shd w:val="clear" w:color="auto" w:fill="auto"/>
            <w:vAlign w:val="center"/>
          </w:tcPr>
          <w:p w14:paraId="46834B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是血液中葡萄糖和血红蛋白相结合的稳定化合物，可反映过去2-3月的平均血糖水平</w:t>
            </w:r>
          </w:p>
        </w:tc>
        <w:tc>
          <w:tcPr>
            <w:tcW w:w="441" w:type="pct"/>
            <w:tcBorders>
              <w:tl2br w:val="nil"/>
              <w:tr2bl w:val="nil"/>
            </w:tcBorders>
            <w:shd w:val="clear" w:color="auto" w:fill="auto"/>
            <w:vAlign w:val="center"/>
          </w:tcPr>
          <w:p w14:paraId="4F714B7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49B564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014363C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9477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35C06E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30" w:type="pct"/>
            <w:vMerge w:val="continue"/>
            <w:tcBorders>
              <w:tl2br w:val="nil"/>
              <w:tr2bl w:val="nil"/>
            </w:tcBorders>
            <w:shd w:val="clear" w:color="auto" w:fill="auto"/>
            <w:vAlign w:val="center"/>
          </w:tcPr>
          <w:p w14:paraId="5B35A9E5">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96443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心肌酶谱5项</w:t>
            </w:r>
          </w:p>
        </w:tc>
        <w:tc>
          <w:tcPr>
            <w:tcW w:w="2116" w:type="pct"/>
            <w:tcBorders>
              <w:tl2br w:val="nil"/>
              <w:tr2bl w:val="nil"/>
            </w:tcBorders>
            <w:shd w:val="clear" w:color="auto" w:fill="auto"/>
            <w:vAlign w:val="center"/>
          </w:tcPr>
          <w:p w14:paraId="6F69C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是心肌损伤的标志物，对心肌炎、急性心肌梗死的诊断有重要意义</w:t>
            </w:r>
          </w:p>
        </w:tc>
        <w:tc>
          <w:tcPr>
            <w:tcW w:w="441" w:type="pct"/>
            <w:tcBorders>
              <w:tl2br w:val="nil"/>
              <w:tr2bl w:val="nil"/>
            </w:tcBorders>
            <w:shd w:val="clear" w:color="auto" w:fill="auto"/>
            <w:vAlign w:val="center"/>
          </w:tcPr>
          <w:p w14:paraId="176F136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996FF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388" w:type="pct"/>
            <w:tcBorders>
              <w:tl2br w:val="nil"/>
              <w:tr2bl w:val="nil"/>
            </w:tcBorders>
            <w:shd w:val="clear" w:color="auto" w:fill="auto"/>
            <w:vAlign w:val="center"/>
          </w:tcPr>
          <w:p w14:paraId="425A4A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03776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63AB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530" w:type="pct"/>
            <w:tcBorders>
              <w:tl2br w:val="nil"/>
              <w:tr2bl w:val="nil"/>
            </w:tcBorders>
            <w:shd w:val="clear" w:color="auto" w:fill="auto"/>
            <w:vAlign w:val="center"/>
          </w:tcPr>
          <w:p w14:paraId="639E2CE4">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19D32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同型半胱氨酸</w:t>
            </w:r>
          </w:p>
        </w:tc>
        <w:tc>
          <w:tcPr>
            <w:tcW w:w="2116" w:type="pct"/>
            <w:tcBorders>
              <w:tl2br w:val="nil"/>
              <w:tr2bl w:val="nil"/>
            </w:tcBorders>
            <w:shd w:val="clear" w:color="auto" w:fill="auto"/>
            <w:vAlign w:val="center"/>
          </w:tcPr>
          <w:p w14:paraId="6F9A3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高同型半胱氨酸血症易诱发高血压、心脑血管疾病</w:t>
            </w:r>
          </w:p>
        </w:tc>
        <w:tc>
          <w:tcPr>
            <w:tcW w:w="441" w:type="pct"/>
            <w:tcBorders>
              <w:tl2br w:val="nil"/>
              <w:tr2bl w:val="nil"/>
            </w:tcBorders>
            <w:shd w:val="clear" w:color="auto" w:fill="auto"/>
            <w:vAlign w:val="center"/>
          </w:tcPr>
          <w:p w14:paraId="7DCA178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76881A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224AF7C7">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7A41E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438B7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530" w:type="pct"/>
            <w:vMerge w:val="restart"/>
            <w:tcBorders>
              <w:tl2br w:val="nil"/>
              <w:tr2bl w:val="nil"/>
            </w:tcBorders>
            <w:shd w:val="clear" w:color="auto" w:fill="auto"/>
            <w:vAlign w:val="center"/>
          </w:tcPr>
          <w:p w14:paraId="74521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肿瘤检查</w:t>
            </w:r>
          </w:p>
        </w:tc>
        <w:tc>
          <w:tcPr>
            <w:tcW w:w="760" w:type="pct"/>
            <w:tcBorders>
              <w:tl2br w:val="nil"/>
              <w:tr2bl w:val="nil"/>
            </w:tcBorders>
            <w:shd w:val="clear" w:color="auto" w:fill="auto"/>
            <w:vAlign w:val="center"/>
          </w:tcPr>
          <w:p w14:paraId="2DF3C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甲胎蛋白AFP</w:t>
            </w:r>
          </w:p>
        </w:tc>
        <w:tc>
          <w:tcPr>
            <w:tcW w:w="2116" w:type="pct"/>
            <w:tcBorders>
              <w:tl2br w:val="nil"/>
              <w:tr2bl w:val="nil"/>
            </w:tcBorders>
            <w:shd w:val="clear" w:color="auto" w:fill="auto"/>
            <w:vAlign w:val="center"/>
          </w:tcPr>
          <w:p w14:paraId="6CC02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肝脏肿瘤筛查</w:t>
            </w:r>
          </w:p>
        </w:tc>
        <w:tc>
          <w:tcPr>
            <w:tcW w:w="441" w:type="pct"/>
            <w:tcBorders>
              <w:tl2br w:val="nil"/>
              <w:tr2bl w:val="nil"/>
            </w:tcBorders>
            <w:shd w:val="clear" w:color="auto" w:fill="auto"/>
            <w:vAlign w:val="center"/>
          </w:tcPr>
          <w:p w14:paraId="30BB7038">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FEC161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480F350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3F64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6E8E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530" w:type="pct"/>
            <w:vMerge w:val="continue"/>
            <w:tcBorders>
              <w:tl2br w:val="nil"/>
              <w:tr2bl w:val="nil"/>
            </w:tcBorders>
            <w:shd w:val="clear" w:color="auto" w:fill="auto"/>
            <w:vAlign w:val="center"/>
          </w:tcPr>
          <w:p w14:paraId="74991595">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0D03DC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癌胚抗原CEA</w:t>
            </w:r>
          </w:p>
        </w:tc>
        <w:tc>
          <w:tcPr>
            <w:tcW w:w="2116" w:type="pct"/>
            <w:tcBorders>
              <w:tl2br w:val="nil"/>
              <w:tr2bl w:val="nil"/>
            </w:tcBorders>
            <w:shd w:val="clear" w:color="auto" w:fill="auto"/>
            <w:vAlign w:val="center"/>
          </w:tcPr>
          <w:p w14:paraId="2403A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筛查癌症，具有广谱、早期的特点，阳性对癌症的诊断有重要临床意义</w:t>
            </w:r>
          </w:p>
        </w:tc>
        <w:tc>
          <w:tcPr>
            <w:tcW w:w="441" w:type="pct"/>
            <w:tcBorders>
              <w:tl2br w:val="nil"/>
              <w:tr2bl w:val="nil"/>
            </w:tcBorders>
            <w:shd w:val="clear" w:color="auto" w:fill="auto"/>
            <w:vAlign w:val="center"/>
          </w:tcPr>
          <w:p w14:paraId="0F07B8A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7AE6422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4872142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2A99B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0DCC4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530" w:type="pct"/>
            <w:vMerge w:val="continue"/>
            <w:tcBorders>
              <w:tl2br w:val="nil"/>
              <w:tr2bl w:val="nil"/>
            </w:tcBorders>
            <w:shd w:val="clear" w:color="auto" w:fill="auto"/>
            <w:vAlign w:val="center"/>
          </w:tcPr>
          <w:p w14:paraId="575C90DB">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FFFFFF"/>
            <w:vAlign w:val="center"/>
          </w:tcPr>
          <w:p w14:paraId="0DFC7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TPSA/FPSA</w:t>
            </w:r>
          </w:p>
        </w:tc>
        <w:tc>
          <w:tcPr>
            <w:tcW w:w="2116" w:type="pct"/>
            <w:tcBorders>
              <w:tl2br w:val="nil"/>
              <w:tr2bl w:val="nil"/>
            </w:tcBorders>
            <w:shd w:val="clear" w:color="auto" w:fill="FFFFFF"/>
            <w:vAlign w:val="center"/>
          </w:tcPr>
          <w:p w14:paraId="160E2A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属早期诊断和监测前列腺癌的重要指标之一，鉴别诊断前列腺炎及前列腺增生等</w:t>
            </w:r>
          </w:p>
        </w:tc>
        <w:tc>
          <w:tcPr>
            <w:tcW w:w="441" w:type="pct"/>
            <w:tcBorders>
              <w:tl2br w:val="nil"/>
              <w:tr2bl w:val="nil"/>
            </w:tcBorders>
            <w:shd w:val="clear" w:color="auto" w:fill="auto"/>
            <w:vAlign w:val="center"/>
          </w:tcPr>
          <w:p w14:paraId="4D1D8B3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45E0601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388" w:type="pct"/>
            <w:tcBorders>
              <w:tl2br w:val="nil"/>
              <w:tr2bl w:val="nil"/>
            </w:tcBorders>
            <w:shd w:val="clear" w:color="auto" w:fill="auto"/>
            <w:vAlign w:val="center"/>
          </w:tcPr>
          <w:p w14:paraId="150D55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77AA0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48561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30" w:type="pct"/>
            <w:vMerge w:val="continue"/>
            <w:tcBorders>
              <w:tl2br w:val="nil"/>
              <w:tr2bl w:val="nil"/>
            </w:tcBorders>
            <w:shd w:val="clear" w:color="auto" w:fill="auto"/>
            <w:vAlign w:val="center"/>
          </w:tcPr>
          <w:p w14:paraId="0ECCBE03">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FFFFFF"/>
            <w:vAlign w:val="center"/>
          </w:tcPr>
          <w:p w14:paraId="351145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CA199</w:t>
            </w:r>
          </w:p>
        </w:tc>
        <w:tc>
          <w:tcPr>
            <w:tcW w:w="2116" w:type="pct"/>
            <w:tcBorders>
              <w:tl2br w:val="nil"/>
              <w:tr2bl w:val="nil"/>
            </w:tcBorders>
            <w:shd w:val="clear" w:color="auto" w:fill="FFFFFF"/>
            <w:vAlign w:val="center"/>
          </w:tcPr>
          <w:p w14:paraId="7DB9B7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诊断消化道肿瘤、胰腺、胆道系统恶性肿瘤的重要指标</w:t>
            </w:r>
          </w:p>
        </w:tc>
        <w:tc>
          <w:tcPr>
            <w:tcW w:w="441" w:type="pct"/>
            <w:tcBorders>
              <w:tl2br w:val="nil"/>
              <w:tr2bl w:val="nil"/>
            </w:tcBorders>
            <w:shd w:val="clear" w:color="auto" w:fill="auto"/>
            <w:vAlign w:val="center"/>
          </w:tcPr>
          <w:p w14:paraId="4F3F8E9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32832DEB">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5B4F5BB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69A2F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9B66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530" w:type="pct"/>
            <w:vMerge w:val="restart"/>
            <w:tcBorders>
              <w:tl2br w:val="nil"/>
              <w:tr2bl w:val="nil"/>
            </w:tcBorders>
            <w:shd w:val="clear" w:color="auto" w:fill="auto"/>
            <w:vAlign w:val="center"/>
          </w:tcPr>
          <w:p w14:paraId="03AAC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超声检查</w:t>
            </w:r>
          </w:p>
        </w:tc>
        <w:tc>
          <w:tcPr>
            <w:tcW w:w="760" w:type="pct"/>
            <w:tcBorders>
              <w:tl2br w:val="nil"/>
              <w:tr2bl w:val="nil"/>
            </w:tcBorders>
            <w:shd w:val="clear" w:color="auto" w:fill="auto"/>
            <w:vAlign w:val="center"/>
          </w:tcPr>
          <w:p w14:paraId="5F3BD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腹部超声（肝胆胰脾）</w:t>
            </w:r>
          </w:p>
        </w:tc>
        <w:tc>
          <w:tcPr>
            <w:tcW w:w="2116" w:type="pct"/>
            <w:tcBorders>
              <w:tl2br w:val="nil"/>
              <w:tr2bl w:val="nil"/>
            </w:tcBorders>
            <w:shd w:val="clear" w:color="auto" w:fill="auto"/>
            <w:vAlign w:val="center"/>
          </w:tcPr>
          <w:p w14:paraId="6425D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筛查脂肪肝、结石、肿瘤、囊肿、血管瘤等，是腹部脏器检查的重要项目</w:t>
            </w:r>
          </w:p>
        </w:tc>
        <w:tc>
          <w:tcPr>
            <w:tcW w:w="441" w:type="pct"/>
            <w:tcBorders>
              <w:tl2br w:val="nil"/>
              <w:tr2bl w:val="nil"/>
            </w:tcBorders>
            <w:shd w:val="clear" w:color="auto" w:fill="auto"/>
            <w:vAlign w:val="center"/>
          </w:tcPr>
          <w:p w14:paraId="036665E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6DD0F1C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1B3D767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7BB22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0" w:hRule="atLeast"/>
        </w:trPr>
        <w:tc>
          <w:tcPr>
            <w:tcW w:w="289" w:type="pct"/>
            <w:tcBorders>
              <w:tl2br w:val="nil"/>
              <w:tr2bl w:val="nil"/>
            </w:tcBorders>
            <w:shd w:val="clear" w:color="auto" w:fill="auto"/>
            <w:vAlign w:val="center"/>
          </w:tcPr>
          <w:p w14:paraId="1B5A1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530" w:type="pct"/>
            <w:vMerge w:val="continue"/>
            <w:tcBorders>
              <w:tl2br w:val="nil"/>
              <w:tr2bl w:val="nil"/>
            </w:tcBorders>
            <w:shd w:val="clear" w:color="auto" w:fill="auto"/>
            <w:vAlign w:val="center"/>
          </w:tcPr>
          <w:p w14:paraId="1CF17E2F">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59CCF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泌尿超声（双肾、前列腺）</w:t>
            </w:r>
          </w:p>
        </w:tc>
        <w:tc>
          <w:tcPr>
            <w:tcW w:w="2116" w:type="pct"/>
            <w:tcBorders>
              <w:tl2br w:val="nil"/>
              <w:tr2bl w:val="nil"/>
            </w:tcBorders>
            <w:shd w:val="clear" w:color="auto" w:fill="auto"/>
            <w:vAlign w:val="center"/>
          </w:tcPr>
          <w:p w14:paraId="129F1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检查双侧输尿管、膀胱、前列腺是否有结石、增生、囊肿、占位等病变。</w:t>
            </w:r>
          </w:p>
        </w:tc>
        <w:tc>
          <w:tcPr>
            <w:tcW w:w="441" w:type="pct"/>
            <w:tcBorders>
              <w:tl2br w:val="nil"/>
              <w:tr2bl w:val="nil"/>
            </w:tcBorders>
            <w:shd w:val="clear" w:color="auto" w:fill="auto"/>
            <w:vAlign w:val="center"/>
          </w:tcPr>
          <w:p w14:paraId="76B71D4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5A9D915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388" w:type="pct"/>
            <w:tcBorders>
              <w:tl2br w:val="nil"/>
              <w:tr2bl w:val="nil"/>
            </w:tcBorders>
            <w:shd w:val="clear" w:color="auto" w:fill="auto"/>
            <w:vAlign w:val="center"/>
          </w:tcPr>
          <w:p w14:paraId="042697C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2A201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22D79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530" w:type="pct"/>
            <w:vMerge w:val="continue"/>
            <w:tcBorders>
              <w:tl2br w:val="nil"/>
              <w:tr2bl w:val="nil"/>
            </w:tcBorders>
            <w:shd w:val="clear" w:color="auto" w:fill="auto"/>
            <w:vAlign w:val="center"/>
          </w:tcPr>
          <w:p w14:paraId="2795E1ED">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59637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甲状腺彩超</w:t>
            </w:r>
          </w:p>
        </w:tc>
        <w:tc>
          <w:tcPr>
            <w:tcW w:w="2116" w:type="pct"/>
            <w:tcBorders>
              <w:tl2br w:val="nil"/>
              <w:tr2bl w:val="nil"/>
            </w:tcBorders>
            <w:shd w:val="clear" w:color="auto" w:fill="auto"/>
            <w:vAlign w:val="center"/>
          </w:tcPr>
          <w:p w14:paraId="49456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筛查甲状腺肿、甲状腺囊肿、甲状腺炎、甲状腺瘤、甲状腺癌等疾病</w:t>
            </w:r>
          </w:p>
        </w:tc>
        <w:tc>
          <w:tcPr>
            <w:tcW w:w="441" w:type="pct"/>
            <w:tcBorders>
              <w:tl2br w:val="nil"/>
              <w:tr2bl w:val="nil"/>
            </w:tcBorders>
            <w:shd w:val="clear" w:color="auto" w:fill="auto"/>
            <w:vAlign w:val="center"/>
          </w:tcPr>
          <w:p w14:paraId="6647F8C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1706F9BA">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229B329F">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7A67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0B5EC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530" w:type="pct"/>
            <w:vMerge w:val="continue"/>
            <w:tcBorders>
              <w:tl2br w:val="nil"/>
              <w:tr2bl w:val="nil"/>
            </w:tcBorders>
            <w:shd w:val="clear" w:color="auto" w:fill="auto"/>
            <w:vAlign w:val="center"/>
          </w:tcPr>
          <w:p w14:paraId="449A1BCF">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7159A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妇科超声（双肾、子宫、附件）</w:t>
            </w:r>
          </w:p>
        </w:tc>
        <w:tc>
          <w:tcPr>
            <w:tcW w:w="2116" w:type="pct"/>
            <w:tcBorders>
              <w:tl2br w:val="nil"/>
              <w:tr2bl w:val="nil"/>
            </w:tcBorders>
            <w:shd w:val="clear" w:color="auto" w:fill="auto"/>
            <w:vAlign w:val="center"/>
          </w:tcPr>
          <w:p w14:paraId="79032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了解是否有子宫肌瘤、卵巢肿瘤、盆腔积液、占位等妇科疾病。</w:t>
            </w:r>
          </w:p>
        </w:tc>
        <w:tc>
          <w:tcPr>
            <w:tcW w:w="441" w:type="pct"/>
            <w:tcBorders>
              <w:tl2br w:val="nil"/>
              <w:tr2bl w:val="nil"/>
            </w:tcBorders>
            <w:shd w:val="clear" w:color="auto" w:fill="auto"/>
            <w:vAlign w:val="center"/>
          </w:tcPr>
          <w:p w14:paraId="37A9F7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73" w:type="pct"/>
            <w:tcBorders>
              <w:tl2br w:val="nil"/>
              <w:tr2bl w:val="nil"/>
            </w:tcBorders>
            <w:shd w:val="clear" w:color="auto" w:fill="auto"/>
            <w:vAlign w:val="center"/>
          </w:tcPr>
          <w:p w14:paraId="52D9147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70891A3E">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74220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08367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530" w:type="pct"/>
            <w:vMerge w:val="continue"/>
            <w:tcBorders>
              <w:tl2br w:val="nil"/>
              <w:tr2bl w:val="nil"/>
            </w:tcBorders>
            <w:shd w:val="clear" w:color="auto" w:fill="auto"/>
            <w:vAlign w:val="center"/>
          </w:tcPr>
          <w:p w14:paraId="06DDDCF5">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47429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乳腺彩超</w:t>
            </w:r>
          </w:p>
        </w:tc>
        <w:tc>
          <w:tcPr>
            <w:tcW w:w="2116" w:type="pct"/>
            <w:tcBorders>
              <w:tl2br w:val="nil"/>
              <w:tr2bl w:val="nil"/>
            </w:tcBorders>
            <w:shd w:val="clear" w:color="auto" w:fill="auto"/>
            <w:vAlign w:val="center"/>
          </w:tcPr>
          <w:p w14:paraId="6630D0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筛查有无乳腺炎、乳腺囊肿、乳腺结节、乳腺癌等</w:t>
            </w:r>
          </w:p>
        </w:tc>
        <w:tc>
          <w:tcPr>
            <w:tcW w:w="441" w:type="pct"/>
            <w:tcBorders>
              <w:tl2br w:val="nil"/>
              <w:tr2bl w:val="nil"/>
            </w:tcBorders>
            <w:shd w:val="clear" w:color="auto" w:fill="auto"/>
            <w:vAlign w:val="center"/>
          </w:tcPr>
          <w:p w14:paraId="0875DA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73" w:type="pct"/>
            <w:tcBorders>
              <w:tl2br w:val="nil"/>
              <w:tr2bl w:val="nil"/>
            </w:tcBorders>
            <w:shd w:val="clear" w:color="auto" w:fill="auto"/>
            <w:vAlign w:val="center"/>
          </w:tcPr>
          <w:p w14:paraId="69E2E94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3520ACD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18DE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1336F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530" w:type="pct"/>
            <w:tcBorders>
              <w:tl2br w:val="nil"/>
              <w:tr2bl w:val="nil"/>
            </w:tcBorders>
            <w:shd w:val="clear" w:color="auto" w:fill="auto"/>
            <w:vAlign w:val="center"/>
          </w:tcPr>
          <w:p w14:paraId="6F940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影像检查</w:t>
            </w:r>
          </w:p>
        </w:tc>
        <w:tc>
          <w:tcPr>
            <w:tcW w:w="760" w:type="pct"/>
            <w:tcBorders>
              <w:tl2br w:val="nil"/>
              <w:tr2bl w:val="nil"/>
            </w:tcBorders>
            <w:shd w:val="clear" w:color="auto" w:fill="auto"/>
            <w:vAlign w:val="center"/>
          </w:tcPr>
          <w:p w14:paraId="0718C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胸部CT+薄层扫描</w:t>
            </w:r>
          </w:p>
        </w:tc>
        <w:tc>
          <w:tcPr>
            <w:tcW w:w="2116" w:type="pct"/>
            <w:tcBorders>
              <w:tl2br w:val="nil"/>
              <w:tr2bl w:val="nil"/>
            </w:tcBorders>
            <w:shd w:val="clear" w:color="auto" w:fill="auto"/>
            <w:vAlign w:val="center"/>
          </w:tcPr>
          <w:p w14:paraId="323614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筛查肺部结节、肿瘤、肺炎、慢阻肺等疾病、准确性较高、特别用于肺癌早期筛查诊断</w:t>
            </w:r>
          </w:p>
        </w:tc>
        <w:tc>
          <w:tcPr>
            <w:tcW w:w="441" w:type="pct"/>
            <w:tcBorders>
              <w:tl2br w:val="nil"/>
              <w:tr2bl w:val="nil"/>
            </w:tcBorders>
            <w:shd w:val="clear" w:color="auto" w:fill="auto"/>
            <w:vAlign w:val="center"/>
          </w:tcPr>
          <w:p w14:paraId="1D7944D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23DC9784">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5156F251">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0F71C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1D77C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530" w:type="pct"/>
            <w:vMerge w:val="restart"/>
            <w:tcBorders>
              <w:tl2br w:val="nil"/>
              <w:tr2bl w:val="nil"/>
            </w:tcBorders>
            <w:shd w:val="clear" w:color="auto" w:fill="auto"/>
            <w:vAlign w:val="center"/>
          </w:tcPr>
          <w:p w14:paraId="7FC20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妇科检查</w:t>
            </w:r>
          </w:p>
        </w:tc>
        <w:tc>
          <w:tcPr>
            <w:tcW w:w="760" w:type="pct"/>
            <w:tcBorders>
              <w:tl2br w:val="nil"/>
              <w:tr2bl w:val="nil"/>
            </w:tcBorders>
            <w:shd w:val="clear" w:color="auto" w:fill="auto"/>
            <w:vAlign w:val="center"/>
          </w:tcPr>
          <w:p w14:paraId="41643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妇科普检+TCT</w:t>
            </w:r>
          </w:p>
        </w:tc>
        <w:tc>
          <w:tcPr>
            <w:tcW w:w="2116" w:type="pct"/>
            <w:tcBorders>
              <w:tl2br w:val="nil"/>
              <w:tr2bl w:val="nil"/>
            </w:tcBorders>
            <w:shd w:val="clear" w:color="auto" w:fill="auto"/>
            <w:vAlign w:val="center"/>
          </w:tcPr>
          <w:p w14:paraId="1CC75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临床上主要用于宫颈病变的早期筛查、宫颈癌的诊断</w:t>
            </w:r>
          </w:p>
        </w:tc>
        <w:tc>
          <w:tcPr>
            <w:tcW w:w="441" w:type="pct"/>
            <w:tcBorders>
              <w:tl2br w:val="nil"/>
              <w:tr2bl w:val="nil"/>
            </w:tcBorders>
            <w:shd w:val="clear" w:color="auto" w:fill="auto"/>
            <w:vAlign w:val="center"/>
          </w:tcPr>
          <w:p w14:paraId="566A7DB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73" w:type="pct"/>
            <w:tcBorders>
              <w:tl2br w:val="nil"/>
              <w:tr2bl w:val="nil"/>
            </w:tcBorders>
            <w:shd w:val="clear" w:color="auto" w:fill="auto"/>
            <w:vAlign w:val="center"/>
          </w:tcPr>
          <w:p w14:paraId="53E731C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05B391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1913D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3D6A7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530" w:type="pct"/>
            <w:vMerge w:val="continue"/>
            <w:tcBorders>
              <w:tl2br w:val="nil"/>
              <w:tr2bl w:val="nil"/>
            </w:tcBorders>
            <w:shd w:val="clear" w:color="auto" w:fill="auto"/>
            <w:vAlign w:val="center"/>
          </w:tcPr>
          <w:p w14:paraId="50442A47">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vAlign w:val="center"/>
          </w:tcPr>
          <w:p w14:paraId="3F8D5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白带常规</w:t>
            </w:r>
          </w:p>
        </w:tc>
        <w:tc>
          <w:tcPr>
            <w:tcW w:w="2116" w:type="pct"/>
            <w:tcBorders>
              <w:tl2br w:val="nil"/>
              <w:tr2bl w:val="nil"/>
            </w:tcBorders>
            <w:shd w:val="clear" w:color="auto" w:fill="auto"/>
            <w:vAlign w:val="center"/>
          </w:tcPr>
          <w:p w14:paraId="78AA7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评估阴道微生态环境，判断是否有细菌性、滴虫性、霉菌性阴道炎</w:t>
            </w:r>
          </w:p>
        </w:tc>
        <w:tc>
          <w:tcPr>
            <w:tcW w:w="441" w:type="pct"/>
            <w:tcBorders>
              <w:tl2br w:val="nil"/>
              <w:tr2bl w:val="nil"/>
            </w:tcBorders>
            <w:shd w:val="clear" w:color="auto" w:fill="auto"/>
            <w:vAlign w:val="center"/>
          </w:tcPr>
          <w:p w14:paraId="606FA6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c>
          <w:tcPr>
            <w:tcW w:w="473" w:type="pct"/>
            <w:tcBorders>
              <w:tl2br w:val="nil"/>
              <w:tr2bl w:val="nil"/>
            </w:tcBorders>
            <w:shd w:val="clear" w:color="auto" w:fill="auto"/>
            <w:vAlign w:val="center"/>
          </w:tcPr>
          <w:p w14:paraId="1F83BF7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738ACA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14:paraId="072CC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5603B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530" w:type="pct"/>
            <w:vMerge w:val="restart"/>
            <w:tcBorders>
              <w:tl2br w:val="nil"/>
              <w:tr2bl w:val="nil"/>
            </w:tcBorders>
            <w:shd w:val="clear" w:color="auto" w:fill="auto"/>
            <w:vAlign w:val="center"/>
          </w:tcPr>
          <w:p w14:paraId="7640F1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其他检查</w:t>
            </w:r>
          </w:p>
        </w:tc>
        <w:tc>
          <w:tcPr>
            <w:tcW w:w="760" w:type="pct"/>
            <w:tcBorders>
              <w:tl2br w:val="nil"/>
              <w:tr2bl w:val="nil"/>
            </w:tcBorders>
            <w:shd w:val="clear" w:color="auto" w:fill="auto"/>
            <w:vAlign w:val="center"/>
          </w:tcPr>
          <w:p w14:paraId="00E99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碳13</w:t>
            </w:r>
          </w:p>
        </w:tc>
        <w:tc>
          <w:tcPr>
            <w:tcW w:w="2116" w:type="pct"/>
            <w:tcBorders>
              <w:tl2br w:val="nil"/>
              <w:tr2bl w:val="nil"/>
            </w:tcBorders>
            <w:shd w:val="clear" w:color="auto" w:fill="auto"/>
            <w:vAlign w:val="center"/>
          </w:tcPr>
          <w:p w14:paraId="32320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筛查有无幽门螺旋杆菌感染，长期感染可致慢性胃炎、溃疡甚至胃癌等</w:t>
            </w:r>
          </w:p>
        </w:tc>
        <w:tc>
          <w:tcPr>
            <w:tcW w:w="441" w:type="pct"/>
            <w:tcBorders>
              <w:tl2br w:val="nil"/>
              <w:tr2bl w:val="nil"/>
            </w:tcBorders>
            <w:shd w:val="clear" w:color="auto" w:fill="auto"/>
            <w:vAlign w:val="center"/>
          </w:tcPr>
          <w:p w14:paraId="496221B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052032D5">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12749789">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5EDF9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trPr>
        <w:tc>
          <w:tcPr>
            <w:tcW w:w="289" w:type="pct"/>
            <w:tcBorders>
              <w:tl2br w:val="nil"/>
              <w:tr2bl w:val="nil"/>
            </w:tcBorders>
            <w:shd w:val="clear" w:color="auto" w:fill="auto"/>
            <w:vAlign w:val="center"/>
          </w:tcPr>
          <w:p w14:paraId="2DF36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530" w:type="pct"/>
            <w:vMerge w:val="continue"/>
            <w:tcBorders>
              <w:tl2br w:val="nil"/>
              <w:tr2bl w:val="nil"/>
            </w:tcBorders>
            <w:shd w:val="clear" w:color="auto" w:fill="auto"/>
            <w:vAlign w:val="center"/>
          </w:tcPr>
          <w:p w14:paraId="5E23057A">
            <w:pPr>
              <w:jc w:val="center"/>
              <w:rPr>
                <w:rFonts w:hint="eastAsia" w:ascii="宋体" w:hAnsi="宋体" w:eastAsia="宋体" w:cs="宋体"/>
                <w:i w:val="0"/>
                <w:iCs w:val="0"/>
                <w:color w:val="000000"/>
                <w:sz w:val="20"/>
                <w:szCs w:val="20"/>
                <w:u w:val="none"/>
              </w:rPr>
            </w:pPr>
          </w:p>
        </w:tc>
        <w:tc>
          <w:tcPr>
            <w:tcW w:w="760" w:type="pct"/>
            <w:tcBorders>
              <w:tl2br w:val="nil"/>
              <w:tr2bl w:val="nil"/>
            </w:tcBorders>
            <w:shd w:val="clear" w:color="auto" w:fill="auto"/>
            <w:noWrap/>
            <w:vAlign w:val="center"/>
          </w:tcPr>
          <w:p w14:paraId="40782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骨密度</w:t>
            </w:r>
          </w:p>
        </w:tc>
        <w:tc>
          <w:tcPr>
            <w:tcW w:w="2116" w:type="pct"/>
            <w:tcBorders>
              <w:tl2br w:val="nil"/>
              <w:tr2bl w:val="nil"/>
            </w:tcBorders>
            <w:shd w:val="clear" w:color="auto" w:fill="auto"/>
            <w:noWrap/>
            <w:vAlign w:val="center"/>
          </w:tcPr>
          <w:p w14:paraId="20525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筛查有无骨量减少或骨质疏松症及其严重程度</w:t>
            </w:r>
          </w:p>
        </w:tc>
        <w:tc>
          <w:tcPr>
            <w:tcW w:w="441" w:type="pct"/>
            <w:tcBorders>
              <w:tl2br w:val="nil"/>
              <w:tr2bl w:val="nil"/>
            </w:tcBorders>
            <w:shd w:val="clear" w:color="auto" w:fill="auto"/>
            <w:vAlign w:val="center"/>
          </w:tcPr>
          <w:p w14:paraId="34A3D90C">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473" w:type="pct"/>
            <w:tcBorders>
              <w:tl2br w:val="nil"/>
              <w:tr2bl w:val="nil"/>
            </w:tcBorders>
            <w:shd w:val="clear" w:color="auto" w:fill="auto"/>
            <w:vAlign w:val="center"/>
          </w:tcPr>
          <w:p w14:paraId="5558F3A7">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c>
          <w:tcPr>
            <w:tcW w:w="388" w:type="pct"/>
            <w:tcBorders>
              <w:tl2br w:val="nil"/>
              <w:tr2bl w:val="nil"/>
            </w:tcBorders>
            <w:shd w:val="clear" w:color="auto" w:fill="auto"/>
            <w:vAlign w:val="center"/>
          </w:tcPr>
          <w:p w14:paraId="4EEE041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bl>
    <w:p w14:paraId="641D6D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E204A"/>
    <w:rsid w:val="24255BD0"/>
    <w:rsid w:val="68EE2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character" w:styleId="7">
    <w:name w:val="Hyperlink"/>
    <w:unhideWhenUsed/>
    <w:qFormat/>
    <w:uiPriority w:val="99"/>
    <w:rPr>
      <w:color w:val="0000FF"/>
      <w:u w:val="single"/>
    </w:rPr>
  </w:style>
  <w:style w:type="paragraph" w:customStyle="1" w:styleId="8">
    <w:name w:val="正文空2格  1."/>
    <w:basedOn w:val="1"/>
    <w:qFormat/>
    <w:uiPriority w:val="0"/>
    <w:pPr>
      <w:adjustRightInd w:val="0"/>
      <w:spacing w:line="360" w:lineRule="auto"/>
      <w:ind w:firstLine="480" w:firstLineChars="200"/>
    </w:pPr>
    <w:rPr>
      <w:rFonts w:hint="eastAsia" w:ascii="宋体" w:eastAsia="仿宋" w:cs="宋体"/>
      <w:kern w:val="0"/>
      <w:sz w:val="28"/>
      <w:szCs w:val="24"/>
    </w:rPr>
  </w:style>
  <w:style w:type="character" w:customStyle="1" w:styleId="9">
    <w:name w:val="font21"/>
    <w:basedOn w:val="6"/>
    <w:qFormat/>
    <w:uiPriority w:val="0"/>
    <w:rPr>
      <w:rFonts w:hint="eastAsia" w:ascii="宋体" w:hAnsi="宋体" w:eastAsia="宋体" w:cs="宋体"/>
      <w:b/>
      <w:bCs/>
      <w:color w:val="000000"/>
      <w:sz w:val="22"/>
      <w:szCs w:val="22"/>
      <w:u w:val="none"/>
    </w:rPr>
  </w:style>
  <w:style w:type="character" w:customStyle="1" w:styleId="10">
    <w:name w:val="font6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3468</Words>
  <Characters>3545</Characters>
  <Lines>0</Lines>
  <Paragraphs>0</Paragraphs>
  <TotalTime>0</TotalTime>
  <ScaleCrop>false</ScaleCrop>
  <LinksUpToDate>false</LinksUpToDate>
  <CharactersWithSpaces>4070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2025-12-08T08:54:00Z</dcterms:created>
  <dc:creator>37118</dc:creator>
  <cp:lastModifiedBy>37118</cp:lastModifiedBy>
  <dcterms:modified xsi:type="dcterms:W3CDTF">2025-12-08T09:34:51Z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F300105B4BAA442F878C579771C2141F_11</vt:lpwstr>
  </property>
  <property fmtid="{D5CDD505-2E9C-101B-9397-08002B2CF9AE}" pid="4" name="KSOTemplateDocerSaveRecord">
    <vt:lpwstr>eyJoZGlkIjoiZGMxNzZlZTVlOTlmZWRmODE0NWRhNWExMDI2ZmU2YWQifQ==</vt:lpwstr>
  </property>
</Properties>
</file>