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版本号：LZBD2025-103、CGZC2025-01120250210002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CB3-11-7号宗地文勘清表、垃圾清运、围墙砌筑项目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LZBD2025-103、CGZC2025-011</w:t>
      </w:r>
      <w:r>
        <w:br/>
      </w:r>
      <w:r>
        <w:br/>
      </w:r>
      <w:r>
        <w:br/>
      </w:r>
    </w:p>
    <w:p>
      <w:pPr>
        <w:pStyle w:val="null3"/>
        <w:jc w:val="center"/>
        <w:outlineLvl w:val="2"/>
      </w:pPr>
      <w:r>
        <w:rPr>
          <w:rFonts w:ascii="仿宋_GB2312" w:hAnsi="仿宋_GB2312" w:cs="仿宋_GB2312" w:eastAsia="仿宋_GB2312"/>
          <w:sz w:val="28"/>
          <w:b/>
        </w:rPr>
        <w:t>西安浐灞国际港世园会展产业园</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西安浐灞国际港世园会展产业园</w:t>
      </w:r>
      <w:r>
        <w:rPr>
          <w:rFonts w:ascii="仿宋_GB2312" w:hAnsi="仿宋_GB2312" w:cs="仿宋_GB2312" w:eastAsia="仿宋_GB2312"/>
        </w:rPr>
        <w:t>委托，拟对</w:t>
      </w:r>
      <w:r>
        <w:rPr>
          <w:rFonts w:ascii="仿宋_GB2312" w:hAnsi="仿宋_GB2312" w:cs="仿宋_GB2312" w:eastAsia="仿宋_GB2312"/>
        </w:rPr>
        <w:t>CB3-11-7号宗地文勘清表、垃圾清运、围墙砌筑项目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LZBD2025-103、CGZC2025-011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CB3-11-7号宗地文勘清表、垃圾清运、围墙砌筑项目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CB3-11-7号宗地位于世博大道南侧、会展三路东侧、锦堤三路西侧、锦槐五路北侧，宗地面积共13.23亩，为提升园区营商环境，加快推动CB3-11-7号宗地文勘发掘工作，确保宗地按时出让，需进行本次项目采购。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采购包1（CB3-11-7号宗地文勘清表、垃圾清运、围墙砌筑项目）：属于专门面向中小企业采购。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2、企业资质：具备西安市建筑垃圾处置（运输）证。</w:t>
      </w:r>
    </w:p>
    <w:p>
      <w:pPr>
        <w:pStyle w:val="null3"/>
      </w:pPr>
      <w:r>
        <w:rPr>
          <w:rFonts w:ascii="仿宋_GB2312" w:hAnsi="仿宋_GB2312" w:cs="仿宋_GB2312" w:eastAsia="仿宋_GB2312"/>
        </w:rPr>
        <w:t>3、本项目专门面向中小企业采购（残疾人福利性单位、监狱企业视同小型、微型企业）：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p>
      <w:pPr>
        <w:pStyle w:val="null3"/>
      </w:pPr>
      <w:r>
        <w:rPr>
          <w:rFonts w:ascii="仿宋_GB2312" w:hAnsi="仿宋_GB2312" w:cs="仿宋_GB2312" w:eastAsia="仿宋_GB2312"/>
        </w:rPr>
        <w:t>4、信用记录：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p>
      <w:pPr>
        <w:pStyle w:val="null3"/>
      </w:pPr>
      <w:r>
        <w:rPr>
          <w:rFonts w:ascii="仿宋_GB2312" w:hAnsi="仿宋_GB2312" w:cs="仿宋_GB2312" w:eastAsia="仿宋_GB2312"/>
        </w:rPr>
        <w:t>5、联合体投标：本项目不接受联合体投标。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西安浐灞国际港世园会展产业园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西安浐灞国际港世园会展产业园</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孙胜伟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029-83748676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李敏、徐小宁、张波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侯海平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029-83595939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说明：合同（暂定）额的5%，保函形式提供，合同签订后10个工作日交付招标人。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代理服务费收费标准：1、交费金额参照国家计委颁布的《招标代理服务收费管理暂行办法》（计价格【2002】1980号）及发改办价格【2003】857号中的规定计取。 2、缴费账户：开户名称：龙寰项目管理咨询有限公司，开户银行：平安银行西安高新路支行， 账号：30201278016145。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西安浐灞国际港世园会展产业园</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西安浐灞国际港世园会展产业园</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西安浐灞国际港世园会展产业园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 徐小宁</w:t>
      </w:r>
    </w:p>
    <w:p>
      <w:pPr>
        <w:pStyle w:val="null3"/>
      </w:pPr>
      <w:r>
        <w:rPr>
          <w:rFonts w:ascii="仿宋_GB2312" w:hAnsi="仿宋_GB2312" w:cs="仿宋_GB2312" w:eastAsia="仿宋_GB2312"/>
        </w:rPr>
        <w:t>联系电话：029-88228899-647、640</w:t>
      </w:r>
    </w:p>
    <w:p>
      <w:pPr>
        <w:pStyle w:val="null3"/>
      </w:pPr>
      <w:r>
        <w:rPr>
          <w:rFonts w:ascii="仿宋_GB2312" w:hAnsi="仿宋_GB2312" w:cs="仿宋_GB2312" w:eastAsia="仿宋_GB2312"/>
        </w:rPr>
        <w:t>地址：西安市高新区太白南路181号A座A区501室招标四部</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1,927,000.00</w:t>
      </w:r>
    </w:p>
    <w:p>
      <w:pPr>
        <w:pStyle w:val="null3"/>
      </w:pPr>
      <w:r>
        <w:rPr>
          <w:rFonts w:ascii="仿宋_GB2312" w:hAnsi="仿宋_GB2312" w:cs="仿宋_GB2312" w:eastAsia="仿宋_GB2312"/>
        </w:rPr>
        <w:t>采购包最高限价（元）: 1,927,000.00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CB3-11-7号宗地文勘清表、垃圾清运、围墙砌筑项目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1,927,000.00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标的名称：CB3-11-7号宗地文勘清表、垃圾清运、围墙砌筑项目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工程内容</w:t>
            </w:r>
          </w:p>
        </w:tc>
        <w:tc>
          <w:tcPr>
            <w:tcW w:type="dxa" w:w="2076"/>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对</w:t>
            </w:r>
            <w:r>
              <w:rPr>
                <w:rFonts w:ascii="仿宋_GB2312" w:hAnsi="仿宋_GB2312" w:cs="仿宋_GB2312" w:eastAsia="仿宋_GB2312"/>
                <w:sz w:val="18"/>
              </w:rPr>
              <w:t>CB3-11-7</w:t>
            </w:r>
            <w:r>
              <w:rPr>
                <w:rFonts w:ascii="仿宋_GB2312" w:hAnsi="仿宋_GB2312" w:cs="仿宋_GB2312" w:eastAsia="仿宋_GB2312"/>
                <w:sz w:val="18"/>
              </w:rPr>
              <w:t>号宗地实施清表，并清运宗地内垃圾约</w:t>
            </w:r>
            <w:r>
              <w:rPr>
                <w:rFonts w:ascii="仿宋_GB2312" w:hAnsi="仿宋_GB2312" w:cs="仿宋_GB2312" w:eastAsia="仿宋_GB2312"/>
                <w:sz w:val="18"/>
              </w:rPr>
              <w:t>1.7</w:t>
            </w:r>
            <w:r>
              <w:rPr>
                <w:rFonts w:ascii="仿宋_GB2312" w:hAnsi="仿宋_GB2312" w:cs="仿宋_GB2312" w:eastAsia="仿宋_GB2312"/>
                <w:sz w:val="18"/>
              </w:rPr>
              <w:t>万立方米。</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沿</w:t>
            </w:r>
            <w:r>
              <w:rPr>
                <w:rFonts w:ascii="仿宋_GB2312" w:hAnsi="仿宋_GB2312" w:cs="仿宋_GB2312" w:eastAsia="仿宋_GB2312"/>
                <w:sz w:val="18"/>
              </w:rPr>
              <w:t>CB3-11-7</w:t>
            </w:r>
            <w:r>
              <w:rPr>
                <w:rFonts w:ascii="仿宋_GB2312" w:hAnsi="仿宋_GB2312" w:cs="仿宋_GB2312" w:eastAsia="仿宋_GB2312"/>
                <w:sz w:val="18"/>
              </w:rPr>
              <w:t>号宗地红线砌筑景观围墙约</w:t>
            </w:r>
            <w:r>
              <w:rPr>
                <w:rFonts w:ascii="仿宋_GB2312" w:hAnsi="仿宋_GB2312" w:cs="仿宋_GB2312" w:eastAsia="仿宋_GB2312"/>
                <w:sz w:val="18"/>
              </w:rPr>
              <w:t>380</w:t>
            </w:r>
            <w:r>
              <w:rPr>
                <w:rFonts w:ascii="仿宋_GB2312" w:hAnsi="仿宋_GB2312" w:cs="仿宋_GB2312" w:eastAsia="仿宋_GB2312"/>
                <w:sz w:val="18"/>
              </w:rPr>
              <w:t>米。</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服务期限</w:t>
            </w:r>
          </w:p>
        </w:tc>
        <w:tc>
          <w:tcPr>
            <w:tcW w:type="dxa" w:w="2076"/>
          </w:tcPr>
          <w:p>
            <w:pPr>
              <w:pStyle w:val="null3"/>
              <w:jc w:val="both"/>
            </w:pPr>
            <w:r>
              <w:rPr>
                <w:rFonts w:ascii="仿宋_GB2312" w:hAnsi="仿宋_GB2312" w:cs="仿宋_GB2312" w:eastAsia="仿宋_GB2312"/>
                <w:sz w:val="18"/>
              </w:rPr>
              <w:t>自合同签订之日</w:t>
            </w:r>
            <w:r>
              <w:rPr>
                <w:rFonts w:ascii="仿宋_GB2312" w:hAnsi="仿宋_GB2312" w:cs="仿宋_GB2312" w:eastAsia="仿宋_GB2312"/>
                <w:sz w:val="18"/>
              </w:rPr>
              <w:t>20天内完成项目</w:t>
            </w:r>
            <w:r>
              <w:rPr>
                <w:rFonts w:ascii="仿宋_GB2312" w:hAnsi="仿宋_GB2312" w:cs="仿宋_GB2312" w:eastAsia="仿宋_GB2312"/>
                <w:sz w:val="18"/>
              </w:rPr>
              <w:t>。</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垃圾清运干净，现场无遗留物，达到文勘实施条件。</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建筑垃圾要清运至正规建筑垃圾消纳场、回填点或项目工地等，不扬尘、不撒漏、不随意倾倒垃圾，必须按有关规定及要求做好防尘降噪措施。</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清运中不能超载，做好蓬盖，落实好安全文明生产及治污减霾工作。</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项目在垃圾清运过程中，应采取围挡及覆盖的方式满足治污减霾工作要求。</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严格按照采购方放线位置及设计文件砌筑围墙。</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最高限价</w:t>
            </w:r>
          </w:p>
        </w:tc>
        <w:tc>
          <w:tcPr>
            <w:tcW w:type="dxa" w:w="2076"/>
          </w:tcPr>
          <w:p>
            <w:pPr>
              <w:pStyle w:val="null3"/>
              <w:jc w:val="both"/>
            </w:pPr>
            <w:r>
              <w:rPr>
                <w:rFonts w:ascii="仿宋_GB2312" w:hAnsi="仿宋_GB2312" w:cs="仿宋_GB2312" w:eastAsia="仿宋_GB2312"/>
                <w:sz w:val="18"/>
              </w:rPr>
              <w:t>垃圾清运最高限价</w:t>
            </w:r>
            <w:r>
              <w:rPr>
                <w:rFonts w:ascii="仿宋_GB2312" w:hAnsi="仿宋_GB2312" w:cs="仿宋_GB2312" w:eastAsia="仿宋_GB2312"/>
                <w:sz w:val="18"/>
              </w:rPr>
              <w:t>100</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立方米；围墙砌筑最高限价</w:t>
            </w:r>
            <w:r>
              <w:rPr>
                <w:rFonts w:ascii="仿宋_GB2312" w:hAnsi="仿宋_GB2312" w:cs="仿宋_GB2312" w:eastAsia="仿宋_GB2312"/>
                <w:sz w:val="18"/>
              </w:rPr>
              <w:t>595.72</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sz w:val="18"/>
              </w:rPr>
              <w:t>米；供应商所报综合单价不得超过最高限价。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符合国家及行业验收合格相关标准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CB3-11-7号宗地文勘清表、垃圾清运、围墙砌筑项目须达到文勘发掘实施条件。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两份。若电子投标文件与纸质投标文件不一致的，以纸质投标文件为准；若正本和副本不符，以正本为准。 2、 供应商务必在开标截止时间30分钟前，通过项目电子化交易系统进行签到，如未进行签到，产生的一切后果由供应商自行承担。 3、采购标的对应的中小企业划分标准所属行业为建筑业。建筑业的划型标准 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5000万元及以上的为中型企业；营业收入300万元及以上，且资产总额300万元及以上的为小型企业；营业收入300万元以下或资产总额300万元以下的为微型企业。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2023年度财务报告（成立时间至开标时间不足一年的可提供成立后任意时段的资产负债表）或开标前六个月内其基本账户银行出具的资信证明或政府采购信用担保机构出具的担保函；2.税收缴纳证明：提供截止至开标时间前六个月内任意一个月的缴纳凭据；（增值税、企业所得税至少提供一种，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 他组织或自然人，法人、其他组织须提供合法 有效的营业执照（或事业单位法人证书）等证 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具备西安市建筑垃圾处置（运输）证。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本项目专门面向中小企业采购（残疾人福利性单位、监狱企业视同小型、微型企业），供应商需提供《中小企业声明函》（监狱企业的证明文件或《残疾人福利性单位声明函》）。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如相关信用记录已失效，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磋商响应报价表.docx 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内容无重大缺漏项，报价唯一，且没有超过采购预算及限价。</w:t>
            </w:r>
          </w:p>
        </w:tc>
        <w:tc>
          <w:tcPr>
            <w:tcW w:type="dxa" w:w="1661"/>
          </w:tcPr>
          <w:p>
            <w:pPr>
              <w:pStyle w:val="null3"/>
            </w:pPr>
            <w:r>
              <w:rPr>
                <w:rFonts w:ascii="仿宋_GB2312" w:hAnsi="仿宋_GB2312" w:cs="仿宋_GB2312" w:eastAsia="仿宋_GB2312"/>
              </w:rPr>
              <w:t>响应文件封面 磋商响应报价表.docx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磋商响应报价表.docx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签字、盖章符合磋商文件要求。</w:t>
            </w:r>
          </w:p>
        </w:tc>
        <w:tc>
          <w:tcPr>
            <w:tcW w:type="dxa" w:w="1661"/>
          </w:tcPr>
          <w:p>
            <w:pPr>
              <w:pStyle w:val="null3"/>
            </w:pPr>
            <w:r>
              <w:rPr>
                <w:rFonts w:ascii="仿宋_GB2312" w:hAnsi="仿宋_GB2312" w:cs="仿宋_GB2312" w:eastAsia="仿宋_GB2312"/>
              </w:rPr>
              <w:t>已标价工程量清单 技术响应部分.docx 授权委托书.docx 技术商务偏离表.docx 资格证明文件.docx 磋商响应报价表.docx 响应文件封面 法定代表人（单位负责人自然人）身份证明.docx 项目管理机构组成表 供应商类似项目业绩一览表 其他材料.docx 响应函 主要人员简历表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包括不限于组织安排、清运、砌筑、各方协调等，总体思路清晰、合理、可操作性强、可执行程度高，能很好推动项目计5分； 包括不限于组织安排、清运、砌筑、各方协调等，方案总体思路较为清晰、合理、可操作性较强、可执行程度较强计4分； 包括不限于组织安排、清运、砌筑、各方协调等，方案总体内容涵盖齐全计3分； 包括不限于组织安排、清运、砌筑、各方协调等，方案总体内容涵盖不完整计2分； 方案内容粗略不全面计1分；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垃圾清运干净，现场无遗留物，达到文勘实施条件；</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建筑垃圾要清运至正规建筑垃圾消纳场、回填点或项目工地等，不扬尘、不撒漏、不随意倾倒垃圾；</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按有关规定及要求做好防尘降噪措施；</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清运中不能超载、做好蓬盖，落实好安全文明生产；</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垃圾清运过程中，采取围挡及覆盖的措施，满足治污减霾工作要求；</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砌筑方案：按照采购需求放线位置及设计文件砌筑围墙；</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进度保证措施，必须按期保质保量完成本项目服务内容；</w:t>
            </w:r>
          </w:p>
        </w:tc>
        <w:tc>
          <w:tcPr>
            <w:tcW w:type="dxa" w:w="2492"/>
          </w:tcPr>
          <w:p>
            <w:pPr>
              <w:pStyle w:val="null3"/>
            </w:pPr>
            <w:r>
              <w:rPr>
                <w:rFonts w:ascii="仿宋_GB2312" w:hAnsi="仿宋_GB2312" w:cs="仿宋_GB2312" w:eastAsia="仿宋_GB2312"/>
              </w:rPr>
              <w:t>提供具体详细的实施方案，方案总体思路清晰，实施方法及工作安排合理，涵盖内容全面，针对性操作性强得5分； 服务内容提供具体详细的实施方案，方案总体思路清晰，实施方法及工作安排合理，涵盖内容全面，针对性操作性欠缺得4分； 提供较为具体的实施方案，方案总体思路较清晰，实施方法及工作安排较合理，涵盖内容较全面，无针对性得3分； 提供实施方案涵盖内容不全面，无法保证项目质量得2分； 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拟投入机械设备安排；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劳动力投入计划安排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投入计划专门针对本项目编制，符合项目实际情况及实施要求，内容详尽且涵盖角度基本全面，有一定的合理性和可行性的，得4分； 投入计划专门针对本项目编制，基本符合项目实际情况及实施要求，内容较详细，涵盖角度较全面，基本合理可行的，得3分； 投入计划专门针对本项目编制，基本符合项目实际情况及实施要求，但方案涵盖角度不全面且实施有难度的，得2分；投入计划内容简单笼统，实施难度大的，得1分；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具备高级工程师及以上职称得2分，其他得1分；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项目部组成科学合理、人员表配置充足，有详细的人员配置清单，针对性强，能够很好的满足项目需求，得3分； 项目部组成科学合理、人员表配置齐全，有详细的人员配置清单，有一定的针对性，满足项目需求，得2分； 项目部组成人员缺乏科学合理性，无人员配置清单，无法满足项目需求，得1分；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提供健全可靠的突发事件应急处理方案，从应急调配能力及意外事故处理方案等方面进行打分，方案内容完整，针对性可行性强，确保出现突发性事件时能高效的解决突发性事件得3分； 方案内容完整，有较强的可行性，确保出现突发性事件时能及时的解决得2分； 方案内容描述简略，无法保证突发性事件得到有效的解决得1分。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评审内容：诺在配合服务过程中接受采购人监督管理，如出现服务质量不能满足需求或未履行承诺时愿意接受相关经济处罚。 评审标准： 专门针对本项目编制，符合项目实际情况及实施要求，内容详尽且涵盖角度全面，合理性和可行性强，保障充分得5分； 专门针对本项目编制，符合项目实际情况及实施要求，内容详尽且涵盖角度基本全面，有一定的合理性和可行性的得4分； 专门针对本项目编制，基本符合项目实际情况及实施要求，内容较详细，涵盖角度较全面，基本合理可行的得3分； 方案专门针对本项目编制，基本符合项目实际情况及实施要求，但涵盖角度不全面且实施有难度的得2分； 承诺方案内容简单笼统，实施难度大的，得1分。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从节约资金、各方配合、可行性等方面综合考虑，建议内容详细具体、针对性强得2分；建议内容详细具体、针对性较强得1分；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2021年1月至今类似项目业绩（含外运或清表），每提供一份业绩合同得1分，满5分。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