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版本号：CGZC2025-013、SCZC2025-CS-0202-001R20250226001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浐灞片区春季部分学校大宗食材（肉类）采购项目（二次）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CGZC2025-013、SCZC2025-CS-0202-001R</w:t>
      </w:r>
      <w:r>
        <w:br/>
      </w:r>
      <w:r>
        <w:br/>
      </w:r>
      <w:r>
        <w:br/>
      </w:r>
    </w:p>
    <w:p>
      <w:pPr>
        <w:pStyle w:val="null3"/>
        <w:jc w:val="center"/>
        <w:outlineLvl w:val="2"/>
      </w:pPr>
      <w:r>
        <w:rPr>
          <w:rFonts w:ascii="仿宋_GB2312" w:hAnsi="仿宋_GB2312" w:cs="仿宋_GB2312" w:eastAsia="仿宋_GB2312"/>
          <w:sz w:val="28"/>
          <w:b/>
        </w:rPr>
        <w:t>西安浐灞国际港教育局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西安浐灞国际港教育局</w:t>
      </w:r>
      <w:r>
        <w:rPr>
          <w:rFonts w:ascii="仿宋_GB2312" w:hAnsi="仿宋_GB2312" w:cs="仿宋_GB2312" w:eastAsia="仿宋_GB2312"/>
        </w:rPr>
        <w:t>委托，拟对</w:t>
      </w:r>
      <w:r>
        <w:rPr>
          <w:rFonts w:ascii="仿宋_GB2312" w:hAnsi="仿宋_GB2312" w:cs="仿宋_GB2312" w:eastAsia="仿宋_GB2312"/>
        </w:rPr>
        <w:t>浐灞片区春季部分学校大宗食材（肉类）采购项目（二次）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CGZC2025-013、SCZC2025-CS-0202-001R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浐灞片区春季部分学校大宗食材（肉类）采购项目（二次）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浐灞片区春季部分学校大宗食材（肉类）采购，具体详见采购文件。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采购包1（浐灞片区春季部分学校大宗食材（肉类）采购项目）：属于专门面向中小企业采购。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缴纳养老保险的证明。</w:t>
      </w:r>
    </w:p>
    <w:p>
      <w:pPr>
        <w:pStyle w:val="null3"/>
      </w:pPr>
      <w:r>
        <w:rPr>
          <w:rFonts w:ascii="仿宋_GB2312" w:hAnsi="仿宋_GB2312" w:cs="仿宋_GB2312" w:eastAsia="仿宋_GB2312"/>
        </w:rPr>
        <w:t>2、供应商资格：提供肉类生产企业有效期内的《动物防疫条件合格证》。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西安浐灞国际港浐灞大道一号浐灞商务中心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029-83535585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西安市高新二路山西证券大厦8层招标三部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李峻豪、王莉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029-83595939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采购包1：1,743,500.00元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代理服务费收费标准：参照原国家计委计价格〔2002〕1980号文的计算方法按项目预算收取，代理服务费包含在供应商的报价中。 代理服务费交纳信息： 银行户名：陕西省采购招标有限责任公司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西安浐灞国际港教育局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地址：西安市高新二路2号山西证券大厦8层综合办公室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浐灞片区春季部分学校大宗食材（肉类）采购，具体详见采购文件。</w:t>
      </w:r>
    </w:p>
    <w:p>
      <w:pPr>
        <w:pStyle w:val="null3"/>
      </w:pPr>
      <w:r>
        <w:rPr>
          <w:rFonts w:ascii="仿宋_GB2312" w:hAnsi="仿宋_GB2312" w:cs="仿宋_GB2312" w:eastAsia="仿宋_GB2312"/>
        </w:rPr>
        <w:t>供应商根据自身情况，报出肉类的折扣，折扣以百分比形式报价，最终结算以采购人每半个月进行询价的“西安市欣桥批发市场价格行情”*折扣进行结算。折扣后的价格包含将采购人所需食材配送到指定地点的所有费用。例如：折扣填报90%，则结算价格=“西安市欣桥批发市场价格行情”*90%</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1,743,500.00</w:t>
      </w:r>
    </w:p>
    <w:p>
      <w:pPr>
        <w:pStyle w:val="null3"/>
      </w:pPr>
      <w:r>
        <w:rPr>
          <w:rFonts w:ascii="仿宋_GB2312" w:hAnsi="仿宋_GB2312" w:cs="仿宋_GB2312" w:eastAsia="仿宋_GB2312"/>
        </w:rPr>
        <w:t>采购包最高限价（元）: 1,743,500.00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1,743,500.00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标的名称：肉类</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肉类</w:t>
            </w:r>
          </w:p>
        </w:tc>
        <w:tc>
          <w:tcPr>
            <w:tcW w:type="dxa" w:w="2076"/>
          </w:tcPr>
          <w:p>
            <w:pPr>
              <w:pStyle w:val="null3"/>
              <w:spacing w:after="195"/>
            </w:pPr>
            <w:r>
              <w:rPr>
                <w:rFonts w:ascii="仿宋_GB2312" w:hAnsi="仿宋_GB2312" w:cs="仿宋_GB2312" w:eastAsia="仿宋_GB2312"/>
              </w:rPr>
              <w:t>包括猪肉、牛肉、羊肉、鸡肉、鸭肉等。必须有定点屠宰场地，并在签订合同时提供生猪定点屠宰专用章、肉品检疫合格章、肉品品质检验合格章、动物产品检疫合格证明、陕西省畜禽产品品质检验合格证明（即“三章两证明”）。提供安全卫生包装物，每次送货携带动物检验合格证。色泽：色泽鲜艳，无注水，表面有一层微干薄膜，瘦肉新切面稍湿润，呈淡玫瑰色或淡红色；粘度：触摸有弹性，外表湿润，不粘手。气味：具有鲜肉固有的气味，无异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自合同签订之日起一个学期（约4个月），按需配送。</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根据每月送货量据实结算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1、乙方须指派专人负责与甲方联系售后服务事宜； 2、货物（产品）的现场卸货、摆放、存储、调配和启动监督； 3、就货物（产品）的存储、使用、保鲜等对甲方人员进行免费培训。主要培训内容为货物（产品）的基本结构、营养特性、如何科学营养均衡搭配、日常的保鲜及清理，常见问题的排除、紧急情况的处理等； 4、质保期内，乙方负责对其提供的货物（产品）出现包装严重变形、破损，食品污损、变异等情况时进行调换，并承诺不再收取任何费用； 5、所有产品服务方式均为乙方上门服务，即由乙方派员到货物（产品）使用现场进行售后服务，由此产生的一切费用均由乙方承担； 6、肉类按照学校需求每日配送，配送时需根据学校食谱,对所需的肉类进行一定加工（肉沫、肉丝、肉片等）。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供应商需在项目电子化交易系统中按要求填写《响应函》完成承诺，提交相应资格证明文件并进行电子签章。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（1）提供2023年度财务报告复印件，应满足以下要求：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项目所属行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法定代表人或单位负责人参加磋商的，应提供法定代表人或单位负责人身份证明。授权代表参加磋商的，应提供法定代表人或单位负责人身份证明、授权委托书及授权代表在本单位缴纳养老保险的证明。</w:t>
            </w:r>
          </w:p>
        </w:tc>
        <w:tc>
          <w:tcPr>
            <w:tcW w:type="dxa" w:w="1661"/>
          </w:tcPr>
          <w:p>
            <w:pPr>
              <w:pStyle w:val="null3"/>
            </w:pPr>
            <w:r>
              <w:rPr>
                <w:rFonts w:ascii="仿宋_GB2312" w:hAnsi="仿宋_GB2312" w:cs="仿宋_GB2312" w:eastAsia="仿宋_GB2312"/>
              </w:rPr>
              <w:t>身份证明文件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提供肉类生产企业有效期内的《动物防疫条件合格证》。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分项报价表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w:t>
            </w:r>
          </w:p>
        </w:tc>
        <w:tc>
          <w:tcPr>
            <w:tcW w:type="dxa" w:w="1661"/>
          </w:tcPr>
          <w:p>
            <w:pPr>
              <w:pStyle w:val="null3"/>
            </w:pPr>
            <w:r>
              <w:rPr>
                <w:rFonts w:ascii="仿宋_GB2312" w:hAnsi="仿宋_GB2312" w:cs="仿宋_GB2312" w:eastAsia="仿宋_GB2312"/>
              </w:rPr>
              <w:t>技术偏离表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供应商针对本项目的理解，提供整体服务方案、整体服务流程、食品配送方案，方案各部分内容全面详细、阐述条理清晰详尽、符合本项目要求的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食品安全管理方案完整、规范，有详细的安全责任划分标准及安全事故的应对措施；安全管理方案针对性强，完整全面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供应商针对本项目特点提供组织计划、项目组成人员情况，组织计划合理、结构清晰，项目组成人员职责任务明确、人员数量和人员专业结构配备合理，完全满足本项目服务要求的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供应商针对相关产品检测报告、食品质量、食品安全与卫生、安全执行标准、检验检查等提供方案；方案详细、合理可行的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针对本项目提供天气、车辆故障等突发事件、配送或使用过程出现问题的应急预案及补救措施； 具有完整、规范的应急方案，并有充足的应急资源储备及较强的应急调配响应能力，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运输车辆配备及时效保障措施</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包括但不限于：采买时间计划、运输路线规划、响应的及时性等；保障措施针对性强、全面完整、时效性强，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满足用户的实际要求，对服务期内所提供产品食品安全、质量等方面具有详细的服务承诺及保证措施； 方案完善、科学合理、服务承诺明确得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供应商提供2022年1月1日起至今的类似项目业绩，每提供一份得2.5分，满分5分。（业绩以合同复印件为准，时间以合同签订日期为准。）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满足采购文件要求且有效响应文件的最后报价为评审基准价，其价格分为满分。其他供应商的价格分统一按照下列公式计算：价格分=（评标基准价/最后报价）×价格分值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详见附件：身份证明文件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详见附件：企业业绩</w:t>
      </w:r>
    </w:p>
    <w:p>
      <w:pPr>
        <w:pStyle w:val="null3"/>
        <w:ind w:firstLine="960"/>
      </w:pPr>
      <w:r>
        <w:rPr>
          <w:rFonts w:ascii="仿宋_GB2312" w:hAnsi="仿宋_GB2312" w:cs="仿宋_GB2312" w:eastAsia="仿宋_GB2312"/>
        </w:rPr>
        <w:t>详见附件：响应方案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