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版本号：CGZC2025-015、SCZC2025-CS-0200-001R20250226001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浐灞片区春季部分学校大宗食材（大米、面粉、食用油、奶类）采购项目（二次）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CGZC2025-015、SCZC2025-CS-0200-001R</w:t>
      </w:r>
      <w:r>
        <w:br/>
      </w:r>
      <w:r>
        <w:br/>
      </w:r>
      <w:r>
        <w:br/>
      </w:r>
    </w:p>
    <w:p>
      <w:pPr>
        <w:pStyle w:val="null3"/>
        <w:jc w:val="center"/>
        <w:outlineLvl w:val="2"/>
      </w:pPr>
      <w:r>
        <w:rPr>
          <w:rFonts w:ascii="仿宋_GB2312" w:hAnsi="仿宋_GB2312" w:cs="仿宋_GB2312" w:eastAsia="仿宋_GB2312"/>
          <w:sz w:val="28"/>
          <w:b/>
        </w:rPr>
        <w:t>西安浐灞国际港教育局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西安浐灞国际港教育局</w:t>
      </w:r>
      <w:r>
        <w:rPr>
          <w:rFonts w:ascii="仿宋_GB2312" w:hAnsi="仿宋_GB2312" w:cs="仿宋_GB2312" w:eastAsia="仿宋_GB2312"/>
        </w:rPr>
        <w:t>委托，拟对</w:t>
      </w:r>
      <w:r>
        <w:rPr>
          <w:rFonts w:ascii="仿宋_GB2312" w:hAnsi="仿宋_GB2312" w:cs="仿宋_GB2312" w:eastAsia="仿宋_GB2312"/>
        </w:rPr>
        <w:t>浐灞片区春季部分学校大宗食材（大米、面粉、食用油、奶类）采购项目（二次）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CGZC2025-015、SCZC2025-CS-0200-001R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浐灞片区春季部分学校大宗食材（大米、面粉、食用油、奶类）采购项目（二次）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浐灞片区春季部分学校大宗食材（大米、面粉、食用油、奶类）采购，具体详见采购文件。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采购包1（浐灞片区春季部分学校大宗食材（大米、面粉、食用油、奶类）采购项目）：属于专门面向中小企业采购。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缴纳养老保险的证明。</w:t>
      </w:r>
    </w:p>
    <w:p>
      <w:pPr>
        <w:pStyle w:val="null3"/>
      </w:pPr>
      <w:r>
        <w:rPr>
          <w:rFonts w:ascii="仿宋_GB2312" w:hAnsi="仿宋_GB2312" w:cs="仿宋_GB2312" w:eastAsia="仿宋_GB2312"/>
        </w:rPr>
        <w:t>2、供应商资格：供应商具备《食品经营许可证》或具有仅销售预包装食品的备案证明资料。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西安浐灞国际港浐灞大道一号浐灞商务中心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029-83535585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西安市高新二路山西证券大厦8层招标三部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029-83595939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采购包1：1,614,200.00元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代理服务费收费标准：参照原国家计委计价格〔2002〕1980号文的计算方法按项目预算收取，代理服务费包含在供应商的报价中。 代理服务费交纳信息： 银行户名：陕西省采购招标有限责任公司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西安浐灞国际港教育局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地址：西安市高新二路2号山西证券大厦8层综合办公室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浐灞片区春季部分学校大宗食材（大米、面粉、食用油、奶类）采购，具体详见采购文件。供应商报价为给定计量单位的单价，单价最高限价分别为：大米：4.8元/千克、面粉：4.4元/千克、食用油：16元/升、奶：1元/100毫升（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1,614,200.00</w:t>
      </w:r>
    </w:p>
    <w:p>
      <w:pPr>
        <w:pStyle w:val="null3"/>
      </w:pPr>
      <w:r>
        <w:rPr>
          <w:rFonts w:ascii="仿宋_GB2312" w:hAnsi="仿宋_GB2312" w:cs="仿宋_GB2312" w:eastAsia="仿宋_GB2312"/>
        </w:rPr>
        <w:t>采购包最高限价（元）: 1,614,200.00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555,900.00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奶类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大米</w:t>
            </w:r>
          </w:p>
        </w:tc>
        <w:tc>
          <w:tcPr>
            <w:tcW w:type="dxa" w:w="2076"/>
          </w:tcPr>
          <w:p>
            <w:pPr>
              <w:pStyle w:val="null3"/>
              <w:jc w:val="both"/>
            </w:pPr>
            <w:r>
              <w:rPr>
                <w:rFonts w:ascii="仿宋_GB2312" w:hAnsi="仿宋_GB2312" w:cs="仿宋_GB2312" w:eastAsia="仿宋_GB2312"/>
              </w:rPr>
              <w:t>独立包装，质量符合国家最新标准一级粳米要求（提供第三方检测机构出具的检验报告或其他证明材料），外包装上标明生产日期、保质期、执行标准、储存条件、生产厂家、产地等。供应商按照**元/千克进行报价。</w:t>
            </w:r>
          </w:p>
        </w:tc>
      </w:tr>
    </w:tbl>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面粉</w:t>
            </w:r>
          </w:p>
        </w:tc>
        <w:tc>
          <w:tcPr>
            <w:tcW w:type="dxa" w:w="2076"/>
          </w:tcPr>
          <w:p>
            <w:pPr>
              <w:pStyle w:val="null3"/>
              <w:jc w:val="both"/>
            </w:pPr>
            <w:r>
              <w:rPr>
                <w:rFonts w:ascii="仿宋_GB2312" w:hAnsi="仿宋_GB2312" w:cs="仿宋_GB2312" w:eastAsia="仿宋_GB2312"/>
              </w:rPr>
              <w:t>独立包装，质量符合国家最新标准精制粉要求（提供第三方检测机构出具的检验报告或其他证明材料）。外包装上标明生产日期、保质期、执行标准、储存条件、生产厂家、产地等。供应商按照**元/千克进行报价。</w:t>
            </w:r>
          </w:p>
        </w:tc>
      </w:tr>
    </w:tbl>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食用油</w:t>
            </w:r>
          </w:p>
        </w:tc>
        <w:tc>
          <w:tcPr>
            <w:tcW w:type="dxa" w:w="2076"/>
          </w:tcPr>
          <w:p>
            <w:pPr>
              <w:pStyle w:val="null3"/>
              <w:jc w:val="both"/>
            </w:pPr>
            <w:r>
              <w:rPr>
                <w:rFonts w:ascii="仿宋_GB2312" w:hAnsi="仿宋_GB2312" w:cs="仿宋_GB2312" w:eastAsia="仿宋_GB2312"/>
              </w:rPr>
              <w:t>独立包装，质量符合国家最新标准压榨一级菜籽油要求（提供第三方检测机构出具的检验报告或其他证明材料）。原料为100%非转基因油菜籽，外包装上标明生产日期、保质期、执行标准、储存条件、生产厂家、产地等。供应商按照**元/升进行报价。</w:t>
            </w:r>
          </w:p>
        </w:tc>
      </w:tr>
    </w:tbl>
    <w:p>
      <w:pPr>
        <w:pStyle w:val="null3"/>
      </w:pPr>
      <w:r>
        <w:rPr>
          <w:rFonts w:ascii="仿宋_GB2312" w:hAnsi="仿宋_GB2312" w:cs="仿宋_GB2312" w:eastAsia="仿宋_GB2312"/>
        </w:rPr>
        <w:t>标的名称：奶类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奶类</w:t>
            </w:r>
          </w:p>
        </w:tc>
        <w:tc>
          <w:tcPr>
            <w:tcW w:type="dxa" w:w="2076"/>
          </w:tcPr>
          <w:p>
            <w:pPr>
              <w:pStyle w:val="null3"/>
              <w:jc w:val="both"/>
            </w:pPr>
            <w:r>
              <w:rPr>
                <w:rFonts w:ascii="仿宋_GB2312" w:hAnsi="仿宋_GB2312" w:cs="仿宋_GB2312" w:eastAsia="仿宋_GB2312"/>
              </w:rPr>
              <w:t>纯牛奶：采用经超高温灭菌或巴式杀菌法等工序制得的纯牛奶，质量符合GB25190-2010灭菌乳标准，供应商按照**元/100毫升报价；酸奶：质量符合GB19302-2010发酵乳标准。供应商按照**元/100克进行报价。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自合同签订之日起一个学期（约4个月），按需配送。</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根据每月送货量据实结算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1、乙方须指派专人负责与甲方联系售后服务事宜； 2、货物（产品）的现场卸货、摆放、存储、调配和启动监督； 3、就货物（产品）的存储、使用、保鲜等对甲方人员进行免费培训。主要培训内容为货物（产品）的基本结构、营养特性、如何科学营养均衡搭配、日常的保鲜及清理，常见问题的排除、紧急情况的处理等； 4、质保期内，乙方负责对其提供的货物（产品）出现包装严重变形、破损，食品污损、变异等情况时进行调换，并承诺不再收取任何费用； 5、所有产品服务方式均为乙方上门服务，即由乙方派员到货物（产品）使用现场进行售后服务，由此产生的一切费用均由乙方承担； 6、大米、面粉、食用油按照学校需求每周配送一次； 7、奶类按照学校需求每周至少配送两次。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供应商需在项目电子化交易系统中按要求填写《响应函》完成承诺，提交相应资格证明文件并进行电子签章。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（1）提供2023年度财务报告复印件，应满足以下要求：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项目所属行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身份证明文件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供应商具备《食品经营许可证》或具有仅销售预包装食品的备案证明资料。</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分项报价表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w:t>
            </w:r>
          </w:p>
        </w:tc>
        <w:tc>
          <w:tcPr>
            <w:tcW w:type="dxa" w:w="1661"/>
          </w:tcPr>
          <w:p>
            <w:pPr>
              <w:pStyle w:val="null3"/>
            </w:pPr>
            <w:r>
              <w:rPr>
                <w:rFonts w:ascii="仿宋_GB2312" w:hAnsi="仿宋_GB2312" w:cs="仿宋_GB2312" w:eastAsia="仿宋_GB2312"/>
              </w:rPr>
              <w:t>技术偏离表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供应商针对本项目的理解，提供整体服务方案、整体服务流程、食品配送方案，方案各部分内容全面详细、阐述条理清晰详尽、符合本项目要求的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品安全管理方案完整、规范，有详细的安全责任划分标准及安全事故的应对措施；安全管理方案针对性强，完整全面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特点提供组织计划、项目组成人员情况，组织计划合理、结构清晰，项目组成人员职责任务明确、人员数量和人员专业结构配备合理，完全满足本项目服务要求的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供应商针对相关产品检测报告、食品质量、食品安全与卫生、安全执行标准、检验检查等提供方案；方案详细、合理可行的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针对本项目提供天气、车辆故障等突发事件、配送或使用过程出现问题的应急预案及补救措施； 具有完整、规范的应急方案，并有充足的应急资源储备及较强的应急调配响应能力，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运输车辆配备及时效保障措施</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包括但不限于：采买时间计划、运输路线规划、响应的及时性等；保障措施针对性强、全面完整、时效性强，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供应商提供2022年1月1日起至今的类似项目业绩，每提供一份得2.5分，满分5分。（业绩以合同复印件为准，时间以合同签订日期为准。）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满足采购文件要求且有效响应文件的最后报价为评审基准价，其价格分为满分。其他供应商的价格分统一按照下列公式计算：价格分=（评标基准价/最后报价）×价格分值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详见附件：身份证明文件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