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0C087">
      <w:pPr>
        <w:tabs>
          <w:tab w:val="left" w:pos="735"/>
        </w:tabs>
        <w:autoSpaceDE w:val="0"/>
        <w:autoSpaceDN w:val="0"/>
        <w:adjustRightInd w:val="0"/>
        <w:snapToGrid w:val="0"/>
        <w:spacing w:before="240" w:beforeLines="100" w:line="360" w:lineRule="auto"/>
        <w:rPr>
          <w:rFonts w:hint="eastAsia" w:ascii="仿宋" w:hAnsi="仿宋" w:eastAsia="仿宋" w:cs="仿宋"/>
          <w:b/>
          <w:bCs/>
          <w:sz w:val="24"/>
          <w:highlight w:val="none"/>
          <w:lang w:val="zh-CN"/>
        </w:rPr>
      </w:pPr>
      <w:r>
        <w:rPr>
          <w:rFonts w:hint="eastAsia" w:ascii="仿宋" w:hAnsi="仿宋" w:eastAsia="仿宋" w:cs="仿宋"/>
          <w:b/>
          <w:bCs/>
          <w:sz w:val="24"/>
          <w:highlight w:val="none"/>
          <w:lang w:val="zh-CN"/>
        </w:rPr>
        <w:t>甲方：</w:t>
      </w:r>
      <w:r>
        <w:rPr>
          <w:rFonts w:hint="eastAsia" w:ascii="仿宋" w:hAnsi="仿宋" w:eastAsia="仿宋" w:cs="仿宋"/>
          <w:bCs/>
          <w:sz w:val="24"/>
          <w:highlight w:val="none"/>
          <w:lang w:val="zh-CN"/>
        </w:rPr>
        <w:t xml:space="preserve">（前款所称采购人）     </w:t>
      </w:r>
      <w:r>
        <w:rPr>
          <w:rFonts w:hint="eastAsia" w:ascii="仿宋" w:hAnsi="仿宋" w:eastAsia="仿宋" w:cs="仿宋"/>
          <w:bCs/>
          <w:sz w:val="24"/>
          <w:highlight w:val="none"/>
        </w:rPr>
        <w:t xml:space="preserve">    </w:t>
      </w:r>
      <w:r>
        <w:rPr>
          <w:rFonts w:hint="eastAsia" w:ascii="仿宋" w:hAnsi="仿宋" w:eastAsia="仿宋" w:cs="仿宋"/>
          <w:bCs/>
          <w:sz w:val="24"/>
          <w:highlight w:val="none"/>
          <w:lang w:val="zh-CN"/>
        </w:rPr>
        <w:t>住所：</w:t>
      </w:r>
    </w:p>
    <w:p w14:paraId="48EE7283">
      <w:pPr>
        <w:tabs>
          <w:tab w:val="left" w:pos="735"/>
        </w:tabs>
        <w:autoSpaceDE w:val="0"/>
        <w:autoSpaceDN w:val="0"/>
        <w:adjustRightInd w:val="0"/>
        <w:snapToGrid w:val="0"/>
        <w:spacing w:line="360" w:lineRule="auto"/>
        <w:rPr>
          <w:rFonts w:hint="eastAsia" w:ascii="仿宋" w:hAnsi="仿宋" w:eastAsia="仿宋" w:cs="仿宋"/>
          <w:bCs/>
          <w:sz w:val="24"/>
          <w:highlight w:val="none"/>
          <w:lang w:val="zh-CN"/>
        </w:rPr>
      </w:pPr>
      <w:r>
        <w:rPr>
          <w:rFonts w:hint="eastAsia" w:ascii="仿宋" w:hAnsi="仿宋" w:eastAsia="仿宋" w:cs="仿宋"/>
          <w:b/>
          <w:bCs/>
          <w:sz w:val="24"/>
          <w:highlight w:val="none"/>
          <w:lang w:val="zh-CN"/>
        </w:rPr>
        <w:t>乙方：</w:t>
      </w:r>
      <w:r>
        <w:rPr>
          <w:rFonts w:hint="eastAsia" w:ascii="仿宋" w:hAnsi="仿宋" w:eastAsia="仿宋" w:cs="仿宋"/>
          <w:bCs/>
          <w:sz w:val="24"/>
          <w:highlight w:val="none"/>
          <w:lang w:val="zh-CN"/>
        </w:rPr>
        <w:t>（前款所称</w:t>
      </w:r>
      <w:r>
        <w:rPr>
          <w:rFonts w:hint="eastAsia" w:ascii="仿宋" w:hAnsi="仿宋" w:eastAsia="仿宋" w:cs="仿宋"/>
          <w:bCs/>
          <w:sz w:val="24"/>
          <w:highlight w:val="none"/>
        </w:rPr>
        <w:t>成交供应商</w:t>
      </w:r>
      <w:r>
        <w:rPr>
          <w:rFonts w:hint="eastAsia" w:ascii="仿宋" w:hAnsi="仿宋" w:eastAsia="仿宋" w:cs="仿宋"/>
          <w:bCs/>
          <w:sz w:val="24"/>
          <w:highlight w:val="none"/>
          <w:lang w:val="zh-CN"/>
        </w:rPr>
        <w:t>）     住所：</w:t>
      </w:r>
    </w:p>
    <w:p w14:paraId="08F5221F">
      <w:pPr>
        <w:adjustRightInd w:val="0"/>
        <w:snapToGrid w:val="0"/>
        <w:spacing w:line="360" w:lineRule="auto"/>
        <w:ind w:firstLine="480" w:firstLineChars="200"/>
        <w:rPr>
          <w:rFonts w:hint="eastAsia" w:ascii="仿宋" w:hAnsi="仿宋" w:eastAsia="仿宋" w:cs="仿宋"/>
          <w:sz w:val="24"/>
          <w:highlight w:val="none"/>
        </w:rPr>
      </w:pPr>
      <w:bookmarkStart w:id="0" w:name="_Toc19515384"/>
      <w:r>
        <w:rPr>
          <w:rFonts w:hint="eastAsia" w:ascii="仿宋" w:hAnsi="仿宋" w:eastAsia="仿宋" w:cs="仿宋"/>
          <w:sz w:val="24"/>
          <w:highlight w:val="none"/>
        </w:rPr>
        <w:t>一、合同内容（标的、数量、质量等）</w:t>
      </w:r>
      <w:bookmarkEnd w:id="0"/>
      <w:r>
        <w:rPr>
          <w:rFonts w:hint="eastAsia" w:ascii="仿宋" w:hAnsi="仿宋" w:eastAsia="仿宋" w:cs="仿宋"/>
          <w:sz w:val="24"/>
          <w:highlight w:val="none"/>
        </w:rPr>
        <w:t>：</w:t>
      </w:r>
    </w:p>
    <w:p w14:paraId="095A0D83">
      <w:pPr>
        <w:adjustRightInd w:val="0"/>
        <w:snapToGrid w:val="0"/>
        <w:spacing w:line="360" w:lineRule="auto"/>
        <w:ind w:firstLine="480" w:firstLineChars="200"/>
        <w:rPr>
          <w:rFonts w:hint="eastAsia" w:ascii="仿宋" w:hAnsi="仿宋" w:eastAsia="仿宋" w:cs="仿宋"/>
          <w:sz w:val="24"/>
          <w:highlight w:val="none"/>
        </w:rPr>
      </w:pPr>
      <w:bookmarkStart w:id="1" w:name="_Toc19515385"/>
      <w:r>
        <w:rPr>
          <w:rFonts w:hint="eastAsia" w:ascii="仿宋" w:hAnsi="仿宋" w:eastAsia="仿宋" w:cs="仿宋"/>
          <w:sz w:val="24"/>
          <w:highlight w:val="none"/>
        </w:rPr>
        <w:t>二、合同价款</w:t>
      </w:r>
      <w:bookmarkEnd w:id="1"/>
    </w:p>
    <w:p w14:paraId="349ABC82">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1、合同</w:t>
      </w:r>
      <w:r>
        <w:rPr>
          <w:rFonts w:hint="eastAsia" w:ascii="仿宋" w:hAnsi="仿宋" w:eastAsia="仿宋" w:cs="仿宋"/>
          <w:sz w:val="24"/>
          <w:highlight w:val="none"/>
          <w:lang w:val="en-US" w:eastAsia="zh-CN"/>
        </w:rPr>
        <w:t>单价</w:t>
      </w:r>
      <w:r>
        <w:rPr>
          <w:rFonts w:hint="eastAsia" w:ascii="仿宋" w:hAnsi="仿宋" w:eastAsia="仿宋" w:cs="仿宋"/>
          <w:sz w:val="24"/>
          <w:highlight w:val="none"/>
        </w:rPr>
        <w:t>：</w:t>
      </w:r>
    </w:p>
    <w:p w14:paraId="16E5589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2、合同</w:t>
      </w:r>
      <w:r>
        <w:rPr>
          <w:rFonts w:hint="eastAsia" w:ascii="仿宋" w:hAnsi="仿宋" w:eastAsia="仿宋" w:cs="仿宋"/>
          <w:sz w:val="24"/>
          <w:highlight w:val="none"/>
          <w:lang w:val="en-US" w:eastAsia="zh-CN"/>
        </w:rPr>
        <w:t>单价</w:t>
      </w:r>
      <w:r>
        <w:rPr>
          <w:rFonts w:hint="eastAsia" w:ascii="仿宋" w:hAnsi="仿宋" w:eastAsia="仿宋" w:cs="仿宋"/>
          <w:sz w:val="24"/>
          <w:highlight w:val="none"/>
        </w:rPr>
        <w:t>包括：</w:t>
      </w:r>
    </w:p>
    <w:p w14:paraId="15C32605">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3、合同为固定</w:t>
      </w:r>
      <w:r>
        <w:rPr>
          <w:rFonts w:hint="eastAsia" w:ascii="仿宋" w:hAnsi="仿宋" w:eastAsia="仿宋" w:cs="仿宋"/>
          <w:sz w:val="24"/>
          <w:highlight w:val="none"/>
          <w:lang w:val="en-US" w:eastAsia="zh-CN"/>
        </w:rPr>
        <w:t>单价</w:t>
      </w:r>
      <w:r>
        <w:rPr>
          <w:rFonts w:hint="eastAsia" w:ascii="仿宋" w:hAnsi="仿宋" w:eastAsia="仿宋" w:cs="仿宋"/>
          <w:sz w:val="24"/>
          <w:highlight w:val="none"/>
        </w:rPr>
        <w:t>合同，不受市场价变化的影响。</w:t>
      </w:r>
    </w:p>
    <w:p w14:paraId="5E6A4582">
      <w:pPr>
        <w:adjustRightInd w:val="0"/>
        <w:snapToGrid w:val="0"/>
        <w:spacing w:line="360" w:lineRule="auto"/>
        <w:ind w:firstLine="480" w:firstLineChars="200"/>
        <w:rPr>
          <w:rFonts w:hint="eastAsia" w:ascii="仿宋" w:hAnsi="仿宋" w:eastAsia="仿宋" w:cs="仿宋"/>
          <w:sz w:val="24"/>
          <w:highlight w:val="none"/>
        </w:rPr>
      </w:pPr>
      <w:bookmarkStart w:id="2" w:name="_Toc19515386"/>
      <w:r>
        <w:rPr>
          <w:rFonts w:hint="eastAsia" w:ascii="仿宋" w:hAnsi="仿宋" w:eastAsia="仿宋" w:cs="仿宋"/>
          <w:sz w:val="24"/>
          <w:highlight w:val="none"/>
        </w:rPr>
        <w:t>三、合同结算</w:t>
      </w:r>
      <w:bookmarkEnd w:id="2"/>
    </w:p>
    <w:p w14:paraId="6B79BB82">
      <w:pPr>
        <w:adjustRightInd w:val="0"/>
        <w:snapToGrid w:val="0"/>
        <w:spacing w:line="360" w:lineRule="auto"/>
        <w:ind w:firstLine="480" w:firstLineChars="200"/>
        <w:rPr>
          <w:rFonts w:hint="eastAsia" w:ascii="仿宋" w:hAnsi="仿宋" w:eastAsia="仿宋" w:cs="仿宋"/>
          <w:sz w:val="24"/>
          <w:highlight w:val="none"/>
          <w:lang w:eastAsia="zh-CN"/>
        </w:rPr>
      </w:pPr>
      <w:bookmarkStart w:id="3" w:name="_Toc19515387"/>
      <w:r>
        <w:rPr>
          <w:rFonts w:hint="eastAsia" w:ascii="仿宋" w:hAnsi="仿宋" w:eastAsia="仿宋" w:cs="仿宋"/>
          <w:sz w:val="24"/>
          <w:highlight w:val="none"/>
        </w:rPr>
        <w:t>1、付款</w:t>
      </w:r>
      <w:r>
        <w:rPr>
          <w:rFonts w:hint="eastAsia" w:ascii="仿宋" w:hAnsi="仿宋" w:eastAsia="仿宋" w:cs="仿宋"/>
          <w:sz w:val="24"/>
          <w:highlight w:val="none"/>
          <w:lang w:val="en-US" w:eastAsia="zh-CN"/>
        </w:rPr>
        <w:t>方式</w:t>
      </w:r>
      <w:r>
        <w:rPr>
          <w:rFonts w:hint="eastAsia" w:ascii="仿宋" w:hAnsi="仿宋" w:eastAsia="仿宋" w:cs="仿宋"/>
          <w:sz w:val="24"/>
          <w:highlight w:val="none"/>
        </w:rPr>
        <w:t>：根据每月送货量据实结算</w:t>
      </w:r>
      <w:r>
        <w:rPr>
          <w:rFonts w:hint="eastAsia" w:ascii="仿宋" w:hAnsi="仿宋" w:eastAsia="仿宋" w:cs="仿宋"/>
          <w:sz w:val="24"/>
          <w:highlight w:val="none"/>
          <w:lang w:eastAsia="zh-CN"/>
        </w:rPr>
        <w:t>。</w:t>
      </w:r>
    </w:p>
    <w:p w14:paraId="769E8BE8">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2、结算方式：银行转账。</w:t>
      </w:r>
    </w:p>
    <w:p w14:paraId="3B6D4F62">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3、结算单位：由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负责结算，乙方开具合同总价数的全额发票交采购人。</w:t>
      </w:r>
    </w:p>
    <w:p w14:paraId="4787145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四、履行期限、地点及方式</w:t>
      </w:r>
      <w:bookmarkEnd w:id="3"/>
      <w:r>
        <w:rPr>
          <w:rFonts w:hint="eastAsia" w:ascii="仿宋" w:hAnsi="仿宋" w:eastAsia="仿宋" w:cs="仿宋"/>
          <w:sz w:val="24"/>
          <w:highlight w:val="none"/>
        </w:rPr>
        <w:t>：</w:t>
      </w:r>
    </w:p>
    <w:p w14:paraId="4479816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1、履行期限：自合同签订之日起一个学期（约4个月），按需配</w:t>
      </w:r>
      <w:bookmarkStart w:id="10" w:name="_GoBack"/>
      <w:bookmarkEnd w:id="10"/>
      <w:r>
        <w:rPr>
          <w:rFonts w:hint="eastAsia" w:ascii="仿宋" w:hAnsi="仿宋" w:eastAsia="仿宋" w:cs="仿宋"/>
          <w:sz w:val="24"/>
          <w:highlight w:val="none"/>
        </w:rPr>
        <w:t>送。</w:t>
      </w:r>
    </w:p>
    <w:p w14:paraId="72506D73">
      <w:pPr>
        <w:adjustRightInd w:val="0"/>
        <w:snapToGrid w:val="0"/>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rPr>
        <w:t>2、地点：</w:t>
      </w:r>
      <w:r>
        <w:rPr>
          <w:rFonts w:hint="eastAsia" w:ascii="仿宋" w:hAnsi="仿宋" w:eastAsia="仿宋" w:cs="仿宋"/>
          <w:sz w:val="24"/>
          <w:highlight w:val="none"/>
          <w:lang w:val="en-US" w:eastAsia="zh-CN"/>
        </w:rPr>
        <w:t>采购人指定地点</w:t>
      </w:r>
    </w:p>
    <w:p w14:paraId="2151202E">
      <w:pPr>
        <w:adjustRightInd w:val="0"/>
        <w:snapToGrid w:val="0"/>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rPr>
        <w:t>3、方式：</w:t>
      </w:r>
      <w:r>
        <w:rPr>
          <w:rFonts w:hint="eastAsia" w:ascii="仿宋" w:hAnsi="仿宋" w:eastAsia="仿宋" w:cs="仿宋"/>
          <w:sz w:val="24"/>
          <w:highlight w:val="none"/>
          <w:lang w:val="en-US" w:eastAsia="zh-CN"/>
        </w:rPr>
        <w:t>现场交货</w:t>
      </w:r>
    </w:p>
    <w:p w14:paraId="2540E5B3">
      <w:pPr>
        <w:adjustRightInd w:val="0"/>
        <w:snapToGrid w:val="0"/>
        <w:spacing w:line="360" w:lineRule="auto"/>
        <w:ind w:firstLine="480" w:firstLineChars="200"/>
        <w:rPr>
          <w:rFonts w:hint="eastAsia" w:ascii="仿宋" w:hAnsi="仿宋" w:eastAsia="仿宋" w:cs="仿宋"/>
          <w:sz w:val="24"/>
          <w:highlight w:val="none"/>
        </w:rPr>
      </w:pPr>
      <w:bookmarkStart w:id="4" w:name="_Toc19515390"/>
      <w:r>
        <w:rPr>
          <w:rFonts w:hint="eastAsia" w:ascii="仿宋" w:hAnsi="仿宋" w:eastAsia="仿宋" w:cs="仿宋"/>
          <w:sz w:val="24"/>
          <w:highlight w:val="none"/>
        </w:rPr>
        <w:t>五、技术服务</w:t>
      </w:r>
      <w:bookmarkEnd w:id="4"/>
    </w:p>
    <w:p w14:paraId="48C167C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1、对技术服务的要求：</w:t>
      </w:r>
    </w:p>
    <w:p w14:paraId="0BBD2ADD">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2、技术资料：</w:t>
      </w:r>
    </w:p>
    <w:p w14:paraId="23BB051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、售后服务</w:t>
      </w:r>
    </w:p>
    <w:p w14:paraId="6A1FA407">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-1、乙方在接到甲方电话通知后在</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小时内派出合格的服务人员到达现场进行服务，承担相应费用。</w:t>
      </w:r>
    </w:p>
    <w:p w14:paraId="64D01E4E">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-2、如果乙方在收到通知后两天内没有弥补缺陷，甲方可采取必要的补救措施，但其风险和费用将由乙方承担，甲方根据合同规定对乙方行使的其它权力不受影响。</w:t>
      </w:r>
    </w:p>
    <w:p w14:paraId="55A2DA32">
      <w:pPr>
        <w:adjustRightInd w:val="0"/>
        <w:snapToGrid w:val="0"/>
        <w:spacing w:line="360" w:lineRule="auto"/>
        <w:ind w:firstLine="480" w:firstLineChars="200"/>
        <w:rPr>
          <w:rFonts w:hint="eastAsia" w:ascii="仿宋" w:hAnsi="仿宋" w:eastAsia="仿宋" w:cs="仿宋"/>
          <w:sz w:val="24"/>
          <w:highlight w:val="none"/>
        </w:rPr>
      </w:pPr>
      <w:bookmarkStart w:id="5" w:name="_Toc19515391"/>
      <w:r>
        <w:rPr>
          <w:rFonts w:hint="eastAsia" w:ascii="仿宋" w:hAnsi="仿宋" w:eastAsia="仿宋" w:cs="仿宋"/>
          <w:sz w:val="24"/>
          <w:highlight w:val="none"/>
        </w:rPr>
        <w:t>六、验收</w:t>
      </w:r>
      <w:bookmarkEnd w:id="5"/>
    </w:p>
    <w:p w14:paraId="04E5B6E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1、验收：乙方完成服务内容后，向甲方提出验收申请，甲方接到乙方验收申请后组织验收（必要时可聘请相应专家或委托相应部门验收），验收合格后，出具使用验收合格证明。</w:t>
      </w:r>
    </w:p>
    <w:p w14:paraId="58AE318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、验收依据：</w:t>
      </w:r>
    </w:p>
    <w:p w14:paraId="2DFD8657">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-1、合同文本、合同附件、竞争性磋商文件、成交供应商的响应文件。</w:t>
      </w:r>
    </w:p>
    <w:p w14:paraId="00584A12">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-2、国内相应的标准、规范。</w:t>
      </w:r>
    </w:p>
    <w:p w14:paraId="3B445154">
      <w:pPr>
        <w:adjustRightInd w:val="0"/>
        <w:snapToGrid w:val="0"/>
        <w:spacing w:line="360" w:lineRule="auto"/>
        <w:ind w:firstLine="480" w:firstLineChars="200"/>
        <w:rPr>
          <w:rFonts w:hint="eastAsia" w:ascii="仿宋" w:hAnsi="仿宋" w:eastAsia="仿宋" w:cs="仿宋"/>
          <w:sz w:val="24"/>
          <w:highlight w:val="none"/>
        </w:rPr>
      </w:pPr>
      <w:bookmarkStart w:id="6" w:name="_Toc19515392"/>
      <w:r>
        <w:rPr>
          <w:rFonts w:hint="eastAsia" w:ascii="仿宋" w:hAnsi="仿宋" w:eastAsia="仿宋" w:cs="仿宋"/>
          <w:sz w:val="24"/>
          <w:highlight w:val="none"/>
          <w:lang w:val="en-US" w:eastAsia="zh-CN"/>
        </w:rPr>
        <w:t>七</w:t>
      </w:r>
      <w:r>
        <w:rPr>
          <w:rFonts w:hint="eastAsia" w:ascii="仿宋" w:hAnsi="仿宋" w:eastAsia="仿宋" w:cs="仿宋"/>
          <w:sz w:val="24"/>
          <w:highlight w:val="none"/>
        </w:rPr>
        <w:t>、违约责任</w:t>
      </w:r>
      <w:bookmarkEnd w:id="6"/>
    </w:p>
    <w:p w14:paraId="795DBB0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1、按《中华人民共和国民法典》中的相关条款执行。</w:t>
      </w:r>
    </w:p>
    <w:p w14:paraId="0229AF30">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2、乙方履约延误</w:t>
      </w:r>
    </w:p>
    <w:p w14:paraId="61C746A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2-1、如乙方事先未征得甲方同意并得到甲方的谅解而单方面延迟执行合同，将按违约终止合同。</w:t>
      </w:r>
    </w:p>
    <w:p w14:paraId="33074D4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A26CE6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3、违约终止合同：未按合同要求提供服务或不能满足技术要求，甲方会同监督机构有权终止合同，对乙方违约行为进行追究，同时按政府采购法的有关规定进行相应的处罚。</w:t>
      </w:r>
    </w:p>
    <w:p w14:paraId="6A4C08CC">
      <w:pPr>
        <w:adjustRightInd w:val="0"/>
        <w:snapToGrid w:val="0"/>
        <w:spacing w:line="360" w:lineRule="auto"/>
        <w:ind w:firstLine="480" w:firstLineChars="200"/>
        <w:rPr>
          <w:rFonts w:hint="eastAsia" w:ascii="仿宋" w:hAnsi="仿宋" w:eastAsia="仿宋" w:cs="仿宋"/>
          <w:sz w:val="24"/>
          <w:highlight w:val="none"/>
        </w:rPr>
      </w:pPr>
      <w:bookmarkStart w:id="7" w:name="_Toc19515393"/>
      <w:r>
        <w:rPr>
          <w:rFonts w:hint="eastAsia" w:ascii="仿宋" w:hAnsi="仿宋" w:eastAsia="仿宋" w:cs="仿宋"/>
          <w:sz w:val="24"/>
          <w:highlight w:val="none"/>
          <w:lang w:val="en-US" w:eastAsia="zh-CN"/>
        </w:rPr>
        <w:t>八</w:t>
      </w:r>
      <w:r>
        <w:rPr>
          <w:rFonts w:hint="eastAsia" w:ascii="仿宋" w:hAnsi="仿宋" w:eastAsia="仿宋" w:cs="仿宋"/>
          <w:sz w:val="24"/>
          <w:highlight w:val="none"/>
        </w:rPr>
        <w:t>、合同组成</w:t>
      </w:r>
      <w:bookmarkEnd w:id="7"/>
    </w:p>
    <w:p w14:paraId="49A36C6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1、成交通知书</w:t>
      </w:r>
    </w:p>
    <w:p w14:paraId="533FB5B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2、合同文件</w:t>
      </w:r>
    </w:p>
    <w:p w14:paraId="3E97F26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3、国家相关规范及标准</w:t>
      </w:r>
    </w:p>
    <w:p w14:paraId="5F305742">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4、竞争性磋商文件</w:t>
      </w:r>
    </w:p>
    <w:p w14:paraId="52154DF7">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5、成交供应商的响应文件</w:t>
      </w:r>
    </w:p>
    <w:p w14:paraId="2609A3BB">
      <w:pPr>
        <w:adjustRightInd w:val="0"/>
        <w:snapToGrid w:val="0"/>
        <w:spacing w:line="360" w:lineRule="auto"/>
        <w:ind w:firstLine="480" w:firstLineChars="200"/>
        <w:rPr>
          <w:rFonts w:hint="eastAsia" w:ascii="仿宋" w:hAnsi="仿宋" w:eastAsia="仿宋" w:cs="仿宋"/>
          <w:sz w:val="24"/>
          <w:highlight w:val="none"/>
        </w:rPr>
      </w:pPr>
      <w:bookmarkStart w:id="8" w:name="_Toc19515394"/>
      <w:r>
        <w:rPr>
          <w:rFonts w:hint="eastAsia" w:ascii="仿宋" w:hAnsi="仿宋" w:eastAsia="仿宋" w:cs="仿宋"/>
          <w:sz w:val="24"/>
          <w:highlight w:val="none"/>
          <w:lang w:val="en-US" w:eastAsia="zh-CN"/>
        </w:rPr>
        <w:t>九</w:t>
      </w:r>
      <w:r>
        <w:rPr>
          <w:rFonts w:hint="eastAsia" w:ascii="仿宋" w:hAnsi="仿宋" w:eastAsia="仿宋" w:cs="仿宋"/>
          <w:sz w:val="24"/>
          <w:highlight w:val="none"/>
        </w:rPr>
        <w:t>、解决争议的方法</w:t>
      </w:r>
      <w:bookmarkEnd w:id="8"/>
    </w:p>
    <w:p w14:paraId="1E2A9D7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凡因本合同引起的或与本合同有关的争议，双方应友好协商解决。协商不成时，双方均同意采用以下第（</w:t>
      </w:r>
      <w:r>
        <w:rPr>
          <w:rFonts w:hint="eastAsia" w:ascii="仿宋" w:hAnsi="仿宋" w:eastAsia="仿宋" w:cs="仿宋"/>
          <w:kern w:val="0"/>
          <w:sz w:val="24"/>
          <w:highlight w:val="none"/>
          <w:lang w:val="en-US" w:eastAsia="zh-CN"/>
        </w:rPr>
        <w:t>1</w:t>
      </w:r>
      <w:r>
        <w:rPr>
          <w:rFonts w:hint="eastAsia" w:ascii="仿宋" w:hAnsi="仿宋" w:eastAsia="仿宋" w:cs="仿宋"/>
          <w:kern w:val="0"/>
          <w:sz w:val="24"/>
          <w:highlight w:val="none"/>
        </w:rPr>
        <w:t>）种争议解决方式：</w:t>
      </w:r>
    </w:p>
    <w:p w14:paraId="1CE67768">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1、甲、乙双方均同意向（甲方所在地人民法院）提起诉讼。</w:t>
      </w:r>
    </w:p>
    <w:p w14:paraId="608FBC2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2、甲、乙双方均同意向（</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"http://www.baidu.com/s?wd=%E4%BB%B2%E8%A3%81%E5%A7%94%E5%91%98%E4%BC%9A&amp;tn=SE_PcZhidaonwhc_ngpagmjz&amp;rsv_dl=gh_pc_zhidao" \t "_blank" </w:instrText>
      </w:r>
      <w:r>
        <w:rPr>
          <w:rFonts w:hint="eastAsia" w:ascii="仿宋" w:hAnsi="仿宋" w:eastAsia="仿宋" w:cs="仿宋"/>
          <w:highlight w:val="none"/>
        </w:rPr>
        <w:fldChar w:fldCharType="separate"/>
      </w:r>
      <w:r>
        <w:rPr>
          <w:rFonts w:hint="eastAsia" w:ascii="仿宋" w:hAnsi="仿宋" w:eastAsia="仿宋" w:cs="仿宋"/>
          <w:kern w:val="0"/>
          <w:sz w:val="24"/>
          <w:highlight w:val="none"/>
        </w:rPr>
        <w:t>仲裁委员会</w:t>
      </w:r>
      <w:r>
        <w:rPr>
          <w:rFonts w:hint="eastAsia" w:ascii="仿宋" w:hAnsi="仿宋" w:eastAsia="仿宋" w:cs="仿宋"/>
          <w:kern w:val="0"/>
          <w:sz w:val="24"/>
          <w:highlight w:val="none"/>
        </w:rPr>
        <w:fldChar w:fldCharType="end"/>
      </w:r>
      <w:r>
        <w:rPr>
          <w:rFonts w:hint="eastAsia" w:ascii="仿宋" w:hAnsi="仿宋" w:eastAsia="仿宋" w:cs="仿宋"/>
          <w:kern w:val="0"/>
          <w:sz w:val="24"/>
          <w:highlight w:val="none"/>
        </w:rPr>
        <w:t>）提起仲裁。</w:t>
      </w:r>
    </w:p>
    <w:p w14:paraId="6E1073F0">
      <w:pPr>
        <w:adjustRightInd w:val="0"/>
        <w:snapToGrid w:val="0"/>
        <w:spacing w:line="360" w:lineRule="auto"/>
        <w:ind w:firstLine="480" w:firstLineChars="200"/>
        <w:rPr>
          <w:rFonts w:hint="eastAsia" w:ascii="仿宋" w:hAnsi="仿宋" w:eastAsia="仿宋" w:cs="仿宋"/>
          <w:sz w:val="24"/>
          <w:highlight w:val="none"/>
        </w:rPr>
      </w:pPr>
      <w:bookmarkStart w:id="9" w:name="_Toc19515395"/>
      <w:r>
        <w:rPr>
          <w:rFonts w:hint="eastAsia" w:ascii="仿宋" w:hAnsi="仿宋" w:eastAsia="仿宋" w:cs="仿宋"/>
          <w:sz w:val="24"/>
          <w:highlight w:val="none"/>
        </w:rPr>
        <w:t>十</w:t>
      </w:r>
      <w:r>
        <w:rPr>
          <w:rFonts w:hint="eastAsia" w:ascii="仿宋" w:hAnsi="仿宋" w:eastAsia="仿宋" w:cs="仿宋"/>
          <w:sz w:val="24"/>
          <w:highlight w:val="none"/>
          <w:lang w:val="en-US" w:eastAsia="zh-CN"/>
        </w:rPr>
        <w:t>一</w:t>
      </w:r>
      <w:r>
        <w:rPr>
          <w:rFonts w:hint="eastAsia" w:ascii="仿宋" w:hAnsi="仿宋" w:eastAsia="仿宋" w:cs="仿宋"/>
          <w:sz w:val="24"/>
          <w:highlight w:val="none"/>
        </w:rPr>
        <w:t>、合同生效及其它</w:t>
      </w:r>
      <w:bookmarkEnd w:id="9"/>
    </w:p>
    <w:p w14:paraId="6093B4B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1、合同未尽事宜、由甲、乙双方协商，作为合同补充，与原合同具有同等法律效力。</w:t>
      </w:r>
    </w:p>
    <w:p w14:paraId="04C37715">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2、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62F7DB4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lang w:val="en-US" w:eastAsia="zh-CN"/>
        </w:rPr>
        <w:t>3</w:t>
      </w:r>
      <w:r>
        <w:rPr>
          <w:rFonts w:hint="eastAsia" w:ascii="仿宋" w:hAnsi="仿宋" w:eastAsia="仿宋" w:cs="仿宋"/>
          <w:kern w:val="0"/>
          <w:sz w:val="24"/>
          <w:highlight w:val="none"/>
        </w:rPr>
        <w:t>、 本合同正本一式</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份，甲方、乙方双方分别执</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备案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w:t>
      </w:r>
    </w:p>
    <w:p w14:paraId="792652BE">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lang w:val="en-US" w:eastAsia="zh-CN"/>
        </w:rPr>
        <w:t>4</w:t>
      </w:r>
      <w:r>
        <w:rPr>
          <w:rFonts w:hint="eastAsia" w:ascii="仿宋" w:hAnsi="仿宋" w:eastAsia="仿宋" w:cs="仿宋"/>
          <w:kern w:val="0"/>
          <w:sz w:val="24"/>
          <w:highlight w:val="none"/>
        </w:rPr>
        <w:t>、合同经甲乙双方盖章、签字后生效，合同签订地点为</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p>
    <w:p w14:paraId="708FF17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lang w:val="en-US" w:eastAsia="zh-CN"/>
        </w:rPr>
        <w:t>5</w:t>
      </w:r>
      <w:r>
        <w:rPr>
          <w:rFonts w:hint="eastAsia" w:ascii="仿宋" w:hAnsi="仿宋" w:eastAsia="仿宋" w:cs="仿宋"/>
          <w:kern w:val="0"/>
          <w:sz w:val="24"/>
          <w:highlight w:val="none"/>
        </w:rPr>
        <w:t>、生效时间：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6DBE2AF2">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highlight w:val="none"/>
        </w:rPr>
      </w:pPr>
    </w:p>
    <w:tbl>
      <w:tblPr>
        <w:tblStyle w:val="6"/>
        <w:tblW w:w="0" w:type="auto"/>
        <w:jc w:val="center"/>
        <w:tblLayout w:type="fixed"/>
        <w:tblCellMar>
          <w:top w:w="0" w:type="dxa"/>
          <w:left w:w="108" w:type="dxa"/>
          <w:bottom w:w="0" w:type="dxa"/>
          <w:right w:w="108" w:type="dxa"/>
        </w:tblCellMar>
      </w:tblPr>
      <w:tblGrid>
        <w:gridCol w:w="4643"/>
        <w:gridCol w:w="4643"/>
      </w:tblGrid>
      <w:tr w14:paraId="1D33BE4B">
        <w:tblPrEx>
          <w:tblCellMar>
            <w:top w:w="0" w:type="dxa"/>
            <w:left w:w="108" w:type="dxa"/>
            <w:bottom w:w="0" w:type="dxa"/>
            <w:right w:w="108" w:type="dxa"/>
          </w:tblCellMar>
        </w:tblPrEx>
        <w:trPr>
          <w:jc w:val="center"/>
        </w:trPr>
        <w:tc>
          <w:tcPr>
            <w:tcW w:w="4643" w:type="dxa"/>
          </w:tcPr>
          <w:p w14:paraId="2D37244B">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甲方名称</w:t>
            </w:r>
            <w:r>
              <w:rPr>
                <w:rFonts w:hint="eastAsia" w:ascii="仿宋" w:hAnsi="仿宋" w:eastAsia="仿宋" w:cs="仿宋"/>
                <w:spacing w:val="-20"/>
                <w:kern w:val="0"/>
                <w:sz w:val="24"/>
                <w:highlight w:val="none"/>
              </w:rPr>
              <w:t>（盖章）</w:t>
            </w:r>
            <w:r>
              <w:rPr>
                <w:rFonts w:hint="eastAsia" w:ascii="仿宋" w:hAnsi="仿宋" w:eastAsia="仿宋" w:cs="仿宋"/>
                <w:kern w:val="0"/>
                <w:sz w:val="24"/>
                <w:highlight w:val="none"/>
              </w:rPr>
              <w:t>：</w:t>
            </w:r>
          </w:p>
          <w:p w14:paraId="67ED0C13">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地址：</w:t>
            </w:r>
          </w:p>
          <w:p w14:paraId="4BC97D4C">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代表人（签字）：</w:t>
            </w:r>
          </w:p>
          <w:p w14:paraId="5CCEDB85">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电话：</w:t>
            </w:r>
          </w:p>
          <w:p w14:paraId="2AD9766B">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开户银行：</w:t>
            </w:r>
          </w:p>
          <w:p w14:paraId="03757B02">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账号：</w:t>
            </w:r>
          </w:p>
        </w:tc>
        <w:tc>
          <w:tcPr>
            <w:tcW w:w="4643" w:type="dxa"/>
          </w:tcPr>
          <w:p w14:paraId="52E5D7FE">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乙方名称</w:t>
            </w:r>
            <w:r>
              <w:rPr>
                <w:rFonts w:hint="eastAsia" w:ascii="仿宋" w:hAnsi="仿宋" w:eastAsia="仿宋" w:cs="仿宋"/>
                <w:spacing w:val="-20"/>
                <w:kern w:val="0"/>
                <w:sz w:val="24"/>
                <w:highlight w:val="none"/>
              </w:rPr>
              <w:t>（盖章）</w:t>
            </w:r>
            <w:r>
              <w:rPr>
                <w:rFonts w:hint="eastAsia" w:ascii="仿宋" w:hAnsi="仿宋" w:eastAsia="仿宋" w:cs="仿宋"/>
                <w:kern w:val="0"/>
                <w:sz w:val="24"/>
                <w:highlight w:val="none"/>
              </w:rPr>
              <w:t>：</w:t>
            </w:r>
          </w:p>
          <w:p w14:paraId="0609B7EB">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地址：</w:t>
            </w:r>
          </w:p>
          <w:p w14:paraId="7C920555">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代表人（签字）：</w:t>
            </w:r>
          </w:p>
          <w:p w14:paraId="0F7D85D4">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电话：</w:t>
            </w:r>
          </w:p>
          <w:p w14:paraId="299FA01C">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开户银行：</w:t>
            </w:r>
          </w:p>
          <w:p w14:paraId="26229CFA">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账号：</w:t>
            </w:r>
          </w:p>
        </w:tc>
      </w:tr>
    </w:tbl>
    <w:p w14:paraId="23ACDAA3">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B0BE4"/>
    <w:rsid w:val="03425C39"/>
    <w:rsid w:val="03C77E99"/>
    <w:rsid w:val="0561174D"/>
    <w:rsid w:val="1021389E"/>
    <w:rsid w:val="16C220C4"/>
    <w:rsid w:val="1D2366AB"/>
    <w:rsid w:val="21132D8F"/>
    <w:rsid w:val="21C02D6D"/>
    <w:rsid w:val="265754CC"/>
    <w:rsid w:val="2755784B"/>
    <w:rsid w:val="29B7714B"/>
    <w:rsid w:val="2A09202A"/>
    <w:rsid w:val="2B57116C"/>
    <w:rsid w:val="2D012D2F"/>
    <w:rsid w:val="2DC047AC"/>
    <w:rsid w:val="35E02BBA"/>
    <w:rsid w:val="3F7B0BE4"/>
    <w:rsid w:val="3FA639A6"/>
    <w:rsid w:val="40563691"/>
    <w:rsid w:val="432B57DF"/>
    <w:rsid w:val="469B0D50"/>
    <w:rsid w:val="4C334E7A"/>
    <w:rsid w:val="518A0D40"/>
    <w:rsid w:val="54AF7F13"/>
    <w:rsid w:val="554107DA"/>
    <w:rsid w:val="578318F4"/>
    <w:rsid w:val="59B63CDD"/>
    <w:rsid w:val="62F04E50"/>
    <w:rsid w:val="688E376F"/>
    <w:rsid w:val="6B146AB5"/>
    <w:rsid w:val="6B401043"/>
    <w:rsid w:val="6B9E2823"/>
    <w:rsid w:val="6D2055BE"/>
    <w:rsid w:val="6FA403B2"/>
    <w:rsid w:val="796E1A86"/>
    <w:rsid w:val="7B165BB8"/>
    <w:rsid w:val="7B3972D8"/>
    <w:rsid w:val="7BB1183B"/>
    <w:rsid w:val="7D311748"/>
    <w:rsid w:val="7D572F04"/>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1"/>
    <w:basedOn w:val="1"/>
    <w:next w:val="1"/>
    <w:link w:val="9"/>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0"/>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1"/>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Indent 2"/>
    <w:basedOn w:val="1"/>
    <w:qFormat/>
    <w:uiPriority w:val="0"/>
    <w:pPr>
      <w:ind w:left="555"/>
    </w:pPr>
    <w:rPr>
      <w:sz w:val="28"/>
      <w:szCs w:val="20"/>
    </w:rPr>
  </w:style>
  <w:style w:type="paragraph" w:customStyle="1" w:styleId="8">
    <w:name w:val="正文2"/>
    <w:basedOn w:val="1"/>
    <w:qFormat/>
    <w:uiPriority w:val="0"/>
    <w:pPr>
      <w:ind w:firstLine="562" w:firstLineChars="200"/>
      <w:jc w:val="left"/>
    </w:pPr>
    <w:rPr>
      <w:rFonts w:hint="eastAsia"/>
    </w:rPr>
  </w:style>
  <w:style w:type="character" w:customStyle="1" w:styleId="9">
    <w:name w:val="标题 1 Char"/>
    <w:link w:val="2"/>
    <w:qFormat/>
    <w:uiPriority w:val="0"/>
    <w:rPr>
      <w:rFonts w:ascii="Times New Roman" w:hAnsi="Times New Roman" w:eastAsia="宋体" w:cs="Times New Roman"/>
      <w:b/>
      <w:kern w:val="44"/>
      <w:sz w:val="32"/>
      <w:szCs w:val="21"/>
    </w:rPr>
  </w:style>
  <w:style w:type="character" w:customStyle="1" w:styleId="10">
    <w:name w:val="标题 2 Char"/>
    <w:link w:val="3"/>
    <w:qFormat/>
    <w:uiPriority w:val="9"/>
    <w:rPr>
      <w:rFonts w:ascii="Cambria" w:hAnsi="Cambria" w:eastAsia="宋体" w:cs="Times New Roman"/>
      <w:b/>
      <w:bCs/>
      <w:kern w:val="0"/>
      <w:sz w:val="28"/>
      <w:szCs w:val="32"/>
    </w:rPr>
  </w:style>
  <w:style w:type="character" w:customStyle="1" w:styleId="11">
    <w:name w:val="标题 3 字符"/>
    <w:link w:val="4"/>
    <w:qFormat/>
    <w:uiPriority w:val="0"/>
    <w:rPr>
      <w:rFonts w:ascii="Times New Roman" w:hAnsi="Times New Roman" w:eastAsia="宋体" w:cs="Times New Roman"/>
      <w:b/>
      <w:bCs/>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1298</Words>
  <Characters>1316</Characters>
  <Lines>0</Lines>
  <Paragraphs>0</Paragraphs>
  <TotalTime>0</TotalTime>
  <ScaleCrop>false</ScaleCrop>
  <LinksUpToDate>false</LinksUpToDate>
  <CharactersWithSpaces>1366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2024-12-03T10:23:00Z</dcterms:created>
  <dc:creator>罗永山</dc:creator>
  <cp:lastModifiedBy>Jun</cp:lastModifiedBy>
  <dcterms:modified xsi:type="dcterms:W3CDTF">2025-02-26T08:50:08Z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66FC0BCAD7394252B43FB19C237F7107_11</vt:lpwstr>
  </property>
  <property fmtid="{D5CDD505-2E9C-101B-9397-08002B2CF9AE}" pid="4" name="KSOTemplateDocerSaveRecord">
    <vt:lpwstr>eyJoZGlkIjoiZDU3NDQxYWM0MTczYjBhMzlmYjdkYmMwMzBhMmYwMWMiLCJ1c2VySWQiOiIyNTQ0OTA1OTQifQ==</vt:lpwstr>
  </property>
</Properties>
</file>