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EBB04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商务及合同主要条款偏离表</w:t>
      </w:r>
    </w:p>
    <w:p w14:paraId="0BD5D33F">
      <w:pPr>
        <w:shd w:val="clear" w:color="auto" w:fill="auto"/>
        <w:kinsoku w:val="0"/>
        <w:spacing w:line="500" w:lineRule="exact"/>
        <w:ind w:left="-376" w:leftChars="-171" w:firstLine="358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项目名称：                                                   </w:t>
      </w:r>
    </w:p>
    <w:p w14:paraId="76D1E655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</w:p>
    <w:p w14:paraId="54B0C162">
      <w:pPr>
        <w:pStyle w:val="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868"/>
        <w:gridCol w:w="2234"/>
        <w:gridCol w:w="2462"/>
        <w:gridCol w:w="1333"/>
      </w:tblGrid>
      <w:tr w14:paraId="08D15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781" w:type="dxa"/>
            <w:noWrap w:val="0"/>
            <w:vAlign w:val="center"/>
          </w:tcPr>
          <w:p w14:paraId="63C59344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68" w:type="dxa"/>
            <w:noWrap w:val="0"/>
            <w:vAlign w:val="center"/>
          </w:tcPr>
          <w:p w14:paraId="56645383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2234" w:type="dxa"/>
            <w:tcBorders>
              <w:right w:val="single" w:color="auto" w:sz="4" w:space="0"/>
            </w:tcBorders>
            <w:noWrap w:val="0"/>
            <w:vAlign w:val="center"/>
          </w:tcPr>
          <w:p w14:paraId="4035299D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要求的商务及合同主要条款</w:t>
            </w:r>
          </w:p>
        </w:tc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F6526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响应的</w:t>
            </w:r>
          </w:p>
          <w:p w14:paraId="61ECFD61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商务及合同主要条款</w:t>
            </w:r>
          </w:p>
        </w:tc>
        <w:tc>
          <w:tcPr>
            <w:tcW w:w="1333" w:type="dxa"/>
            <w:tcBorders>
              <w:left w:val="single" w:color="auto" w:sz="4" w:space="0"/>
            </w:tcBorders>
            <w:noWrap w:val="0"/>
            <w:vAlign w:val="center"/>
          </w:tcPr>
          <w:p w14:paraId="00C0B99C">
            <w:pPr>
              <w:pStyle w:val="6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偏离说明</w:t>
            </w:r>
          </w:p>
        </w:tc>
      </w:tr>
      <w:tr w14:paraId="54D27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781" w:type="dxa"/>
            <w:noWrap w:val="0"/>
            <w:vAlign w:val="top"/>
          </w:tcPr>
          <w:p w14:paraId="5DA23107">
            <w:pPr>
              <w:pStyle w:val="6"/>
              <w:shd w:val="clear" w:color="auto" w:fill="auto"/>
              <w:spacing w:line="600" w:lineRule="exact"/>
              <w:ind w:left="-125" w:leftChars="-5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8" w:type="dxa"/>
            <w:noWrap w:val="0"/>
            <w:vAlign w:val="top"/>
          </w:tcPr>
          <w:p w14:paraId="1CAE936F">
            <w:pPr>
              <w:pStyle w:val="6"/>
              <w:shd w:val="clear" w:color="auto" w:fill="auto"/>
              <w:spacing w:line="4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34" w:type="dxa"/>
            <w:noWrap w:val="0"/>
            <w:vAlign w:val="center"/>
          </w:tcPr>
          <w:p w14:paraId="27D2B9BB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62" w:type="dxa"/>
            <w:tcBorders>
              <w:top w:val="single" w:color="auto" w:sz="4" w:space="0"/>
            </w:tcBorders>
            <w:noWrap w:val="0"/>
            <w:vAlign w:val="center"/>
          </w:tcPr>
          <w:p w14:paraId="490EABAF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333" w:type="dxa"/>
            <w:noWrap w:val="0"/>
            <w:vAlign w:val="center"/>
          </w:tcPr>
          <w:p w14:paraId="305490F5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8A49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781" w:type="dxa"/>
            <w:noWrap w:val="0"/>
            <w:vAlign w:val="top"/>
          </w:tcPr>
          <w:p w14:paraId="3ADD4807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8" w:type="dxa"/>
            <w:noWrap w:val="0"/>
            <w:vAlign w:val="top"/>
          </w:tcPr>
          <w:p w14:paraId="473BE479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34" w:type="dxa"/>
            <w:noWrap w:val="0"/>
            <w:vAlign w:val="top"/>
          </w:tcPr>
          <w:p w14:paraId="700459BC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62" w:type="dxa"/>
            <w:noWrap w:val="0"/>
            <w:vAlign w:val="top"/>
          </w:tcPr>
          <w:p w14:paraId="4ABBE7C4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3" w:type="dxa"/>
            <w:noWrap w:val="0"/>
            <w:vAlign w:val="top"/>
          </w:tcPr>
          <w:p w14:paraId="07159B42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F70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781" w:type="dxa"/>
            <w:noWrap w:val="0"/>
            <w:vAlign w:val="top"/>
          </w:tcPr>
          <w:p w14:paraId="4D5BCA21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8" w:type="dxa"/>
            <w:noWrap w:val="0"/>
            <w:vAlign w:val="top"/>
          </w:tcPr>
          <w:p w14:paraId="18577558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34" w:type="dxa"/>
            <w:noWrap w:val="0"/>
            <w:vAlign w:val="top"/>
          </w:tcPr>
          <w:p w14:paraId="65F277CE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62" w:type="dxa"/>
            <w:noWrap w:val="0"/>
            <w:vAlign w:val="top"/>
          </w:tcPr>
          <w:p w14:paraId="4DCD6B62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3" w:type="dxa"/>
            <w:noWrap w:val="0"/>
            <w:vAlign w:val="top"/>
          </w:tcPr>
          <w:p w14:paraId="638F102A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E5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781" w:type="dxa"/>
            <w:noWrap w:val="0"/>
            <w:vAlign w:val="top"/>
          </w:tcPr>
          <w:p w14:paraId="0DE9F1C9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8" w:type="dxa"/>
            <w:noWrap w:val="0"/>
            <w:vAlign w:val="top"/>
          </w:tcPr>
          <w:p w14:paraId="584386D5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34" w:type="dxa"/>
            <w:noWrap w:val="0"/>
            <w:vAlign w:val="top"/>
          </w:tcPr>
          <w:p w14:paraId="03478655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62" w:type="dxa"/>
            <w:noWrap w:val="0"/>
            <w:vAlign w:val="top"/>
          </w:tcPr>
          <w:p w14:paraId="57574A50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3" w:type="dxa"/>
            <w:noWrap w:val="0"/>
            <w:vAlign w:val="top"/>
          </w:tcPr>
          <w:p w14:paraId="4D6C4D58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A1A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781" w:type="dxa"/>
            <w:noWrap w:val="0"/>
            <w:vAlign w:val="top"/>
          </w:tcPr>
          <w:p w14:paraId="5723863A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68" w:type="dxa"/>
            <w:noWrap w:val="0"/>
            <w:vAlign w:val="top"/>
          </w:tcPr>
          <w:p w14:paraId="7CDB4932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34" w:type="dxa"/>
            <w:noWrap w:val="0"/>
            <w:vAlign w:val="top"/>
          </w:tcPr>
          <w:p w14:paraId="0126021F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62" w:type="dxa"/>
            <w:noWrap w:val="0"/>
            <w:vAlign w:val="top"/>
          </w:tcPr>
          <w:p w14:paraId="6920FC43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3" w:type="dxa"/>
            <w:noWrap w:val="0"/>
            <w:vAlign w:val="top"/>
          </w:tcPr>
          <w:p w14:paraId="6BCB7CAD">
            <w:pPr>
              <w:pStyle w:val="6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1FDBF0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注：1.本表只填写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单一来源采购响应文件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中与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单一来源采购文件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有偏离（包括正偏离和负偏离）的内容，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单一来源采购响应文件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中商务响应与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单一来源采购文件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要求完全一致的，不用在此表中列出，但必须提交空白表。</w:t>
      </w:r>
    </w:p>
    <w:p w14:paraId="41C1906D">
      <w:pPr>
        <w:pStyle w:val="3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D56B71D">
      <w:pPr>
        <w:pStyle w:val="3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095B8B6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供应商（公章）：                       </w:t>
      </w:r>
    </w:p>
    <w:p w14:paraId="77F5FDE0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法定代表人/被授权人（签字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）：</w:t>
      </w:r>
    </w:p>
    <w:p w14:paraId="2038FCE8">
      <w:pPr>
        <w:shd w:val="clear" w:color="auto" w:fill="auto"/>
        <w:spacing w:line="432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期：</w:t>
      </w:r>
    </w:p>
    <w:p w14:paraId="561602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B6B00"/>
    <w:rsid w:val="14A62B72"/>
    <w:rsid w:val="3E1B6B00"/>
    <w:rsid w:val="464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customStyle="1" w:styleId="6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188</Characters>
  <Lines>0</Lines>
  <Paragraphs>0</Paragraphs>
  <TotalTime>0</TotalTime>
  <ScaleCrop>false</ScaleCrop>
  <LinksUpToDate>false</LinksUpToDate>
  <CharactersWithSpaces>268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2025-04-09T03:31:00Z</dcterms:created>
  <dc:creator>纵横招标</dc:creator>
  <cp:lastModifiedBy>纵横招标</cp:lastModifiedBy>
  <dcterms:modified xsi:type="dcterms:W3CDTF">2025-04-22T06:41:35Z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70DF8DC9296849F89E2226C4C0134879_11</vt:lpwstr>
  </property>
  <property fmtid="{D5CDD505-2E9C-101B-9397-08002B2CF9AE}" pid="4" name="KSOTemplateDocerSaveRecord">
    <vt:lpwstr>eyJoZGlkIjoiMWM0MzMxNWNmNmM5MDYxZTg2ZTdhMWNiMDU3NjE3N2MiLCJ1c2VySWQiOiIyNjQ2NDU1NDQifQ==</vt:lpwstr>
  </property>
</Properties>
</file>