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版本号：CGZC-2025-062（HSGJ2025-148）20250527001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全区平安建设、信访维稳辅助工作服务项目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CGZC-2025-062（HSGJ2025-148）</w:t>
      </w:r>
      <w:r>
        <w:br/>
      </w:r>
      <w:r>
        <w:br/>
      </w:r>
      <w:r>
        <w:br/>
      </w:r>
    </w:p>
    <w:p>
      <w:pPr>
        <w:pStyle w:val="null3"/>
        <w:jc w:val="center"/>
        <w:outlineLvl w:val="2"/>
      </w:pPr>
      <w:r>
        <w:rPr>
          <w:rFonts w:ascii="仿宋_GB2312" w:hAnsi="仿宋_GB2312" w:cs="仿宋_GB2312" w:eastAsia="仿宋_GB2312"/>
          <w:sz w:val="28"/>
          <w:b/>
        </w:rPr>
        <w:t>西安浐灞国际港党群工作部</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西安浐灞国际港党群工作部</w:t>
      </w:r>
      <w:r>
        <w:rPr>
          <w:rFonts w:ascii="仿宋_GB2312" w:hAnsi="仿宋_GB2312" w:cs="仿宋_GB2312" w:eastAsia="仿宋_GB2312"/>
        </w:rPr>
        <w:t>委托，拟对</w:t>
      </w:r>
      <w:r>
        <w:rPr>
          <w:rFonts w:ascii="仿宋_GB2312" w:hAnsi="仿宋_GB2312" w:cs="仿宋_GB2312" w:eastAsia="仿宋_GB2312"/>
        </w:rPr>
        <w:t>全区平安建设、信访维稳辅助工作服务项目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CGZC-2025-062（HSGJ2025-148）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全区平安建设、信访维稳辅助工作服务项目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全区平安建设、信访维稳辅助工作服务项目，具体内容详见第三章。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采购包1（全区平安建设、信访维稳辅助工作服务项目）：属于专门面向中小企业采购。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rFonts w:ascii="仿宋_GB2312" w:hAnsi="仿宋_GB2312" w:cs="仿宋_GB2312" w:eastAsia="仿宋_GB2312"/>
        </w:rPr>
        <w:t>4、中小企业声明函：本项目专门面向中小微企业采购，须符合《政府采购促进中小企业发展管理办法》（财库〔2020〕46号）规定的中小微企业参加，符合要求的监狱企业或残疾人福利单位视同小微企业，并按要求提供声明函。</w:t>
      </w:r>
    </w:p>
    <w:p>
      <w:pPr>
        <w:pStyle w:val="null3"/>
      </w:pPr>
      <w:r>
        <w:rPr>
          <w:rFonts w:ascii="仿宋_GB2312" w:hAnsi="仿宋_GB2312" w:cs="仿宋_GB2312" w:eastAsia="仿宋_GB2312"/>
        </w:rPr>
        <w:t>5、关联关系：单位负责人为同一人或者存在直接控股、管理关系的不同供应商，不得参加同一合同项下的政府采购活动。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18792474711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029-83596064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转账事由：CGZC-2025-062（HSGJ2025-148）项目代理服务费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西安浐灞国际港党群工作部</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2023年底，按照市委、市政府有关工作安排，原浐灞生态区与原国际港务区整合成为浐灞国际港，区域管理面积大幅增加，社会治理、信访维稳工作形势较之前更加复杂多变，城乡建设、教育、劳动社保等领域矛盾多发易发，需进一步坚持践行发展新时代“枫桥经验”，强化基层治理能力；市委“八个新突破”“深化六个改革”重点工作中，对平安建设、信访维稳等方面提出了更高要求和标准。同时，作为“三中心”及中国-中亚西安峰会举办地，近年来我区参与并承担多项中、省、市重大活动服务保障任务，人少事多、外勤值守、应急处置等情况十分突出。</w:t>
      </w:r>
    </w:p>
    <w:p>
      <w:pPr>
        <w:pStyle w:val="null3"/>
        <w:ind w:firstLine="420"/>
        <w:jc w:val="left"/>
      </w:pPr>
      <w:r>
        <w:rPr>
          <w:rFonts w:ascii="仿宋_GB2312" w:hAnsi="仿宋_GB2312" w:cs="仿宋_GB2312" w:eastAsia="仿宋_GB2312"/>
          <w:sz w:val="21"/>
          <w:color w:val="000000"/>
        </w:rPr>
        <w:t>为进一步坚持践行发展新时代</w:t>
      </w:r>
      <w:r>
        <w:rPr>
          <w:rFonts w:ascii="仿宋_GB2312" w:hAnsi="仿宋_GB2312" w:cs="仿宋_GB2312" w:eastAsia="仿宋_GB2312"/>
          <w:sz w:val="21"/>
          <w:color w:val="000000"/>
        </w:rPr>
        <w:t>“枫桥经验”，提升全区平安建设水平，加强区域安全治理能力建设，更好统筹全区高质量发展和高水平安全，为区域经济社会发展营造和谐稳定发展环境，按照工作安排，需通过政府采购方式采购平安建设、信访维稳辅助工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全区平安建设、信访维稳辅助工作服务项目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标的名称：全区平安建设、信访维稳辅助工作服务项目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color w:val="000000"/>
              </w:rPr>
              <w:t>2023年底，按照市委、市政府有关工作安排，原浐灞生态区与原国际港务区整合成为浐灞国际港，区域管理面积大幅增加，社会治理、信访维稳工作形势较之前更加复杂多变，城乡建设、教育、劳动社保等领域矛盾多发易发，需进一步坚持践行发展新时代“枫桥经验”，强化基层治理能力；市委“八个新突破”“深化六个改革”重点工作中，对平安建设、信访维稳等方面提出了更高要求和标准。同时，作为“三中心”及中国-中亚西安峰会举办地，近年来我区参与并承担多项中、省、市重大活动服务保障任务，人少事多、外勤值守、应急处置等情况十分突出。</w:t>
            </w:r>
          </w:p>
          <w:p>
            <w:pPr>
              <w:pStyle w:val="null3"/>
              <w:ind w:firstLine="420"/>
              <w:jc w:val="left"/>
            </w:pPr>
            <w:r>
              <w:rPr>
                <w:rFonts w:ascii="仿宋_GB2312" w:hAnsi="仿宋_GB2312" w:cs="仿宋_GB2312" w:eastAsia="仿宋_GB2312"/>
                <w:sz w:val="21"/>
                <w:color w:val="000000"/>
              </w:rPr>
              <w:t>为进一步坚持践行发展新时代</w:t>
            </w:r>
            <w:r>
              <w:rPr>
                <w:rFonts w:ascii="仿宋_GB2312" w:hAnsi="仿宋_GB2312" w:cs="仿宋_GB2312" w:eastAsia="仿宋_GB2312"/>
                <w:sz w:val="21"/>
                <w:color w:val="000000"/>
              </w:rPr>
              <w:t>“枫桥经验”，提升全区平安建设水平，加强区域安全治理能力建设，更好统筹全区高质量发展和高水平安全，为区域经济社会发展营造和谐稳定发展环境，按照工作安排，需通过政府采购方式采购平安建设、信访维稳辅助工作服务。</w:t>
            </w:r>
          </w:p>
          <w:p>
            <w:pPr>
              <w:pStyle w:val="null3"/>
              <w:ind w:firstLine="422"/>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服务内容</w:t>
            </w:r>
          </w:p>
          <w:p>
            <w:pPr>
              <w:pStyle w:val="null3"/>
              <w:jc w:val="left"/>
            </w:pPr>
            <w:r>
              <w:rPr>
                <w:rFonts w:ascii="仿宋_GB2312" w:hAnsi="仿宋_GB2312" w:cs="仿宋_GB2312" w:eastAsia="仿宋_GB2312"/>
                <w:sz w:val="21"/>
                <w:color w:val="000000"/>
              </w:rPr>
              <w:t>（一）服务地点：党群工作部指定地点。</w:t>
            </w:r>
          </w:p>
          <w:p>
            <w:pPr>
              <w:pStyle w:val="null3"/>
              <w:jc w:val="left"/>
            </w:pPr>
            <w:r>
              <w:rPr>
                <w:rFonts w:ascii="仿宋_GB2312" w:hAnsi="仿宋_GB2312" w:cs="仿宋_GB2312" w:eastAsia="仿宋_GB2312"/>
                <w:sz w:val="21"/>
                <w:color w:val="000000"/>
              </w:rPr>
              <w:t>（二）工作内容：</w:t>
            </w:r>
          </w:p>
          <w:p>
            <w:pPr>
              <w:pStyle w:val="null3"/>
              <w:ind w:firstLine="420"/>
              <w:jc w:val="left"/>
            </w:pPr>
            <w:r>
              <w:rPr>
                <w:rFonts w:ascii="仿宋_GB2312" w:hAnsi="仿宋_GB2312" w:cs="仿宋_GB2312" w:eastAsia="仿宋_GB2312"/>
                <w:sz w:val="21"/>
                <w:color w:val="000000"/>
              </w:rPr>
              <w:t>按照省、市、区有关工作要求，辅助党群工作部做好全区平安建设、信访维稳保障工作。</w:t>
            </w:r>
          </w:p>
          <w:p>
            <w:pPr>
              <w:pStyle w:val="null3"/>
              <w:ind w:firstLine="420"/>
              <w:jc w:val="left"/>
            </w:pPr>
            <w:r>
              <w:rPr>
                <w:rFonts w:ascii="仿宋_GB2312" w:hAnsi="仿宋_GB2312" w:cs="仿宋_GB2312" w:eastAsia="仿宋_GB2312"/>
                <w:sz w:val="21"/>
                <w:color w:val="000000"/>
              </w:rPr>
              <w:t>1.平安建设工作内容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1）社会治安综合治理：辅助党群工作部做好街道综治中心工作平台建设，检查、推动辖区内的社会治安综合治理各项措施的落实，指导和帮助居民委员会、协调辖区内其他单位做好社会治安综合治理工作。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群防群治组织建设：辅助党群工作部做好辖区社会治安防控体系建设，开展基层平安创建活动及各种形式的治安防范活动，动员、组织人民群众维护社会治安和社会秩序，促进相关社会组织在社会治安防控体系建设等工作中充分发挥作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3）法治宣传与公民道德教育：辅助党群工作部做好面向居民、单位开展法治宣传教育和公民道德教育工作。</w:t>
            </w:r>
          </w:p>
          <w:p>
            <w:pPr>
              <w:pStyle w:val="null3"/>
              <w:ind w:firstLine="420"/>
              <w:jc w:val="left"/>
            </w:pPr>
            <w:r>
              <w:rPr>
                <w:rFonts w:ascii="仿宋_GB2312" w:hAnsi="仿宋_GB2312" w:cs="仿宋_GB2312" w:eastAsia="仿宋_GB2312"/>
                <w:sz w:val="21"/>
                <w:color w:val="000000"/>
              </w:rPr>
              <w:t>2.信访维稳工作内容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1）重大活动信访维稳服务保障：辅助党群工作部做好重大活动期间指定场所的值班值守、接待登记、劝返分流、信息统计等工作。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2）推进信访工作法治化：辅助党群工作部做好信访事项的受理、办理工作；做好辖区内居民、单位开展《信访工作条例》及信访工作法治化的宣传教育工作。</w:t>
            </w:r>
          </w:p>
          <w:p>
            <w:pPr>
              <w:pStyle w:val="null3"/>
              <w:ind w:firstLine="422"/>
              <w:jc w:val="left"/>
            </w:pPr>
            <w:r>
              <w:rPr>
                <w:rFonts w:ascii="仿宋_GB2312" w:hAnsi="仿宋_GB2312" w:cs="仿宋_GB2312" w:eastAsia="仿宋_GB2312"/>
                <w:sz w:val="21"/>
                <w:b/>
                <w:color w:val="000000"/>
              </w:rPr>
              <w:t>三、服务要求（如对人员配置、专业设备、服务标准等）</w:t>
            </w:r>
          </w:p>
          <w:p>
            <w:pPr>
              <w:pStyle w:val="null3"/>
              <w:ind w:firstLine="420"/>
              <w:jc w:val="left"/>
            </w:pPr>
            <w:r>
              <w:rPr>
                <w:rFonts w:ascii="仿宋_GB2312" w:hAnsi="仿宋_GB2312" w:cs="仿宋_GB2312" w:eastAsia="仿宋_GB2312"/>
                <w:sz w:val="21"/>
                <w:color w:val="000000"/>
              </w:rPr>
              <w:t>（一）人员配置</w:t>
            </w:r>
          </w:p>
          <w:p>
            <w:pPr>
              <w:pStyle w:val="null3"/>
              <w:ind w:firstLine="420"/>
              <w:jc w:val="left"/>
            </w:pPr>
            <w:r>
              <w:rPr>
                <w:rFonts w:ascii="仿宋_GB2312" w:hAnsi="仿宋_GB2312" w:cs="仿宋_GB2312" w:eastAsia="仿宋_GB2312"/>
                <w:sz w:val="21"/>
                <w:color w:val="000000"/>
              </w:rPr>
              <w:t>1.为保障购买服务项目顺利开展，乙方需派驻不少于5名工作人员开展驻场服务。</w:t>
            </w:r>
          </w:p>
          <w:p>
            <w:pPr>
              <w:pStyle w:val="null3"/>
              <w:ind w:firstLine="420"/>
              <w:jc w:val="left"/>
            </w:pPr>
            <w:r>
              <w:rPr>
                <w:rFonts w:ascii="仿宋_GB2312" w:hAnsi="仿宋_GB2312" w:cs="仿宋_GB2312" w:eastAsia="仿宋_GB2312"/>
                <w:sz w:val="21"/>
                <w:color w:val="000000"/>
              </w:rPr>
              <w:t>2.乙方工作人员需服从甲方工作安排，按照采购服务内容认真做好具体服务保障工作。</w:t>
            </w:r>
          </w:p>
          <w:p>
            <w:pPr>
              <w:pStyle w:val="null3"/>
              <w:ind w:firstLine="420"/>
              <w:jc w:val="left"/>
            </w:pPr>
            <w:r>
              <w:rPr>
                <w:rFonts w:ascii="仿宋_GB2312" w:hAnsi="仿宋_GB2312" w:cs="仿宋_GB2312" w:eastAsia="仿宋_GB2312"/>
                <w:sz w:val="21"/>
                <w:color w:val="000000"/>
              </w:rPr>
              <w:t>（二）服务标准</w:t>
            </w:r>
          </w:p>
          <w:p>
            <w:pPr>
              <w:pStyle w:val="null3"/>
              <w:ind w:firstLine="420"/>
              <w:jc w:val="left"/>
            </w:pPr>
            <w:r>
              <w:rPr>
                <w:rFonts w:ascii="仿宋_GB2312" w:hAnsi="仿宋_GB2312" w:cs="仿宋_GB2312" w:eastAsia="仿宋_GB2312"/>
                <w:sz w:val="21"/>
                <w:color w:val="000000"/>
              </w:rPr>
              <w:t>根据平安建设、信访维稳工作的工作要求，服务人员要有较强的大局意识、规矩意识和保密意识；具备较强的沟通技能和表达能力，准确理解来访人员的诉求，做好接待和登记；具备规范处置接待活动中突发事件的应变能力；有一定的文字水平，可以独立起草基础性报告方案；有较强的组织能力，能够有效协助省市区相关部门按规定程序完成接待、登记、分流、统计等工作。</w:t>
            </w:r>
          </w:p>
          <w:p>
            <w:pPr>
              <w:pStyle w:val="null3"/>
              <w:ind w:firstLine="422"/>
              <w:jc w:val="left"/>
            </w:pPr>
            <w:r>
              <w:rPr>
                <w:rFonts w:ascii="仿宋_GB2312" w:hAnsi="仿宋_GB2312" w:cs="仿宋_GB2312" w:eastAsia="仿宋_GB2312"/>
                <w:sz w:val="21"/>
                <w:b/>
                <w:color w:val="000000"/>
              </w:rPr>
              <w:t>四、商务要求（如服务期限、款项结算等）</w:t>
            </w:r>
          </w:p>
          <w:p>
            <w:pPr>
              <w:pStyle w:val="null3"/>
              <w:ind w:firstLine="420"/>
              <w:jc w:val="left"/>
            </w:pPr>
            <w:r>
              <w:rPr>
                <w:rFonts w:ascii="仿宋_GB2312" w:hAnsi="仿宋_GB2312" w:cs="仿宋_GB2312" w:eastAsia="仿宋_GB2312"/>
                <w:sz w:val="21"/>
                <w:color w:val="000000"/>
              </w:rPr>
              <w:t>（一）服务期限</w:t>
            </w:r>
          </w:p>
          <w:p>
            <w:pPr>
              <w:pStyle w:val="null3"/>
              <w:ind w:firstLine="420"/>
              <w:jc w:val="left"/>
            </w:pPr>
            <w:r>
              <w:rPr>
                <w:rFonts w:ascii="仿宋_GB2312" w:hAnsi="仿宋_GB2312" w:cs="仿宋_GB2312" w:eastAsia="仿宋_GB2312"/>
                <w:sz w:val="21"/>
                <w:color w:val="000000"/>
              </w:rPr>
              <w:t>服务期限为</w:t>
            </w:r>
            <w:r>
              <w:rPr>
                <w:rFonts w:ascii="仿宋_GB2312" w:hAnsi="仿宋_GB2312" w:cs="仿宋_GB2312" w:eastAsia="仿宋_GB2312"/>
                <w:sz w:val="21"/>
                <w:color w:val="000000"/>
              </w:rPr>
              <w:t>2年。</w:t>
            </w:r>
          </w:p>
          <w:p>
            <w:pPr>
              <w:pStyle w:val="null3"/>
              <w:ind w:firstLine="420"/>
              <w:jc w:val="left"/>
            </w:pPr>
            <w:r>
              <w:rPr>
                <w:rFonts w:ascii="仿宋_GB2312" w:hAnsi="仿宋_GB2312" w:cs="仿宋_GB2312" w:eastAsia="仿宋_GB2312"/>
                <w:sz w:val="21"/>
                <w:color w:val="000000"/>
              </w:rPr>
              <w:t>（二）款项结算</w:t>
            </w:r>
          </w:p>
          <w:p>
            <w:pPr>
              <w:pStyle w:val="null3"/>
              <w:jc w:val="left"/>
            </w:pPr>
            <w:r>
              <w:rPr>
                <w:rFonts w:ascii="仿宋_GB2312" w:hAnsi="仿宋_GB2312" w:cs="仿宋_GB2312" w:eastAsia="仿宋_GB2312"/>
                <w:sz w:val="21"/>
                <w:color w:val="000000"/>
              </w:rPr>
              <w:t xml:space="preserve">  双方合同签订后，第一次结算时间根据乙方开具符合合同约定的正规发票后，结算金额为总金额的</w:t>
            </w:r>
            <w:r>
              <w:rPr>
                <w:rFonts w:ascii="仿宋_GB2312" w:hAnsi="仿宋_GB2312" w:cs="仿宋_GB2312" w:eastAsia="仿宋_GB2312"/>
                <w:sz w:val="21"/>
                <w:color w:val="000000"/>
              </w:rPr>
              <w:t>40％；第二次结算时间为合同期满一年，结算金额为总金额的40％；第三次结算时间为合同期满后一个月内，将总金额20%一次性支付给乙方。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和技术规格书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并追回所付项目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双方合同签订后，第一次结算时间根据乙方开具符合合同约定的正规发票后，结算金额为总金额的40％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第二次结算时间为合同期满一年，结算金额为总金额的40％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第三次结算时间为合同期满后一个月内，将总金额20%一次性支付给乙方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服务标准：符合国家及行业有关现行规范、标准的要求。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本项目专门面向中小微企业采购，须符合《政府采购促进中小企业发展管理办法》（财库〔2020〕46号）规定的中小微企业参加，符合要求的监狱企业或残疾人福利单位视同小微企业，并按要求提供声明函。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商务偏离表 法定代表人证明书及法定代表人授权书 服务需求响应表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报价表 分项报价明细表 法定代表人证明书及法定代表人授权书 服务需求响应表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报价表 分项报价明细表 法定代表人证明书及法定代表人授权书 服务需求响应表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分项报价明细表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 分项报价明细表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供应商根据本项目内容及要求做出具体响应内容、列出具体服务方案、服务内容分析、服务目标等进行综合评定。 1.方案内容分析完整、全面、合理，服务目标明确，完全满足采购人需求得（7,10】分； 2.方案内容分析较全面，合理，服务目标基本明确得（3,7】分； 3.方案简单，内容空泛，不利于项目实施的得（0,3】分；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工作流程管理制度</w:t>
            </w:r>
          </w:p>
        </w:tc>
        <w:tc>
          <w:tcPr>
            <w:tcW w:type="dxa" w:w="2492"/>
          </w:tcPr>
          <w:p>
            <w:pPr>
              <w:pStyle w:val="null3"/>
            </w:pPr>
            <w:r>
              <w:rPr>
                <w:rFonts w:ascii="仿宋_GB2312" w:hAnsi="仿宋_GB2312" w:cs="仿宋_GB2312" w:eastAsia="仿宋_GB2312"/>
              </w:rPr>
              <w:t>供应商针对本项目提供健全的工作流程管理制度。 1.管理制度健全、规范，实施计划详细、可行性强得（7,10】分； 2.管理制度简单，实施计划基本可行得（3,7】分； 3.无明确管理制度，实施计划简单得（0,3】分；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供应商具有健全的工作质量管理体系，并提供质量管理措施。 1.体系完善，措施合理得（7,10】分； 2.质量体系及管理措施基本合理得（3,7】分； 3.质量体系及管理措施内容欠缺，合理性差得（0,3】分；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 1.培训方案科学完整、可行性、针对性强得（7,10】分； 2.培训方案基本符合要求，但方案可行性一般得（3,7】分； 3.提供基本的岗位培训，方案宽泛、针对性差，不能保证服务人员服务水平得（0,3】分；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供应商提供针对本项目实施过程中可能会遇到的突发应急事件，按突发应急预案完整性、全面性、认知深度和专业性进行评审： 1.突发应急预案合理、完善、详尽，可行性强得（7,10】分； 2.突发应急预案较合理、可行性较强得（3,7】分； 3.突发应急预案一般合理、可行性一般得（0,3】分；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结合项目的实际情况，组织形式合理、结构清晰、项目组成人员职责任务明确、人员数量和人员专业结构配备合理。 1.人员配备方案合理、完善、详尽，可行性强、针对性强得（7,10】分； 2.人员配备方案较合理、可行性较强得（3,7】分； 3.人员配备方案一般，基本合理、可行性一般得（0,3】分；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根据各供应商服务承诺，本着承诺事项具体、可行、可操作性强、可信度高等，进行综合考量，自主赋分。 1.服务承诺方案合理、完善、详尽，可行性强得（7,10】分； 2.服务承诺方案较合理、可行性较强得（3,7】； 3.服务承诺方案一般合理、可行性一般得（0,3】分；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为更好的服务于本项目及采购人，供应商对项目提出相应的合理化建议。 1.提供具有针对性、切实、可行性、有效性的合理化建议得（4,5】分； 2.提供较合理较可行的建议得（2,4】分； 3.提供的建议一般合理、可行性一般得（0,2】分；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供应商提供保密措施，应承诺不得泄漏采购单位一切敏感信息，包括但不限于技术资料、商业秘密和商业信息等。 1.保密措施合理、完善、详尽，可行性强得（4,5】分； 2.保密措施较合理、可行性较强得（2,4】分； 3.保密措施一般合理、可行性一般得（0,2】分；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供应商响应文件中所提供的近三年（指2022年1月1日至响应文件递交截止时间，以合同签订时间为准）类似项目业绩合同复印件（加盖公章）为准进行评审打分，每提供一项业绩合同得2分，本项最高得分为10分。响应文件中未提供业绩合同复印件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 本项目专门面向中小企业。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详见附件：服务需求响应表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