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版本号：CGZC-2025-026（ZR20GN2025-CS-013）20250528001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工业及服务业咨询服务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CGZC-2025-026（ZR20GN2025-CS-013）</w:t>
      </w:r>
      <w:r>
        <w:br/>
      </w:r>
      <w:r>
        <w:br/>
      </w:r>
      <w:r>
        <w:br/>
      </w:r>
    </w:p>
    <w:p>
      <w:pPr>
        <w:pStyle w:val="null3"/>
        <w:jc w:val="center"/>
        <w:outlineLvl w:val="2"/>
      </w:pPr>
      <w:r>
        <w:rPr>
          <w:rFonts w:ascii="仿宋_GB2312" w:hAnsi="仿宋_GB2312" w:cs="仿宋_GB2312" w:eastAsia="仿宋_GB2312"/>
          <w:sz w:val="28"/>
          <w:b/>
        </w:rPr>
        <w:t>西安浐灞国际港产业促进局</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西安浐灞国际港产业促进局</w:t>
      </w:r>
      <w:r>
        <w:rPr>
          <w:rFonts w:ascii="仿宋_GB2312" w:hAnsi="仿宋_GB2312" w:cs="仿宋_GB2312" w:eastAsia="仿宋_GB2312"/>
        </w:rPr>
        <w:t>委托，拟对</w:t>
      </w:r>
      <w:r>
        <w:rPr>
          <w:rFonts w:ascii="仿宋_GB2312" w:hAnsi="仿宋_GB2312" w:cs="仿宋_GB2312" w:eastAsia="仿宋_GB2312"/>
        </w:rPr>
        <w:t>工业及服务业咨询服务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CGZC-2025-026（ZR20GN2025-CS-013）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工业及服务业咨询服务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采购西安浐灞国际港工业及服务业咨询服务。主要服务内容包含提供工业及营利性服务业运行监测管理及相关专项事项咨询服务，对企业发展存在的问题及困难给出专业咨询意见等。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采购包1（工业及服务业咨询服务）：属于专门面向中小企业采购。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西安浐灞国际港产业促进局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029-83332490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西安浐灞国际港产业促进局</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西安浐灞国际港产业促进局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西安浐灞国际港产业促进局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符合国家法律法规规定的标准、竞争性磋商文件和成交供应商竞争性磋商响应文件所要求的技术标准。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采购西安浐灞国际港工业及服务业咨询服务。主要服务内容包含提供工业及营利性服务业运行监测管理及相关专项事项咨询服务，对企业发展存在的问题及困难给出专业咨询意见等。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工业及服务业咨询服务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标的名称：工业及服务业咨询服务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sz w:val="21"/>
              </w:rPr>
              <w:t>①专项纳统服务</w:t>
            </w:r>
          </w:p>
          <w:p>
            <w:pPr>
              <w:pStyle w:val="null3"/>
              <w:ind w:firstLine="420"/>
              <w:jc w:val="left"/>
            </w:pPr>
            <w:r>
              <w:rPr>
                <w:rFonts w:ascii="仿宋_GB2312" w:hAnsi="仿宋_GB2312" w:cs="仿宋_GB2312" w:eastAsia="仿宋_GB2312"/>
                <w:sz w:val="21"/>
              </w:rPr>
              <w:t>发挥第三方服务机构专业优势，在浐灞国际港重点产业园区等开展驻点服务，为企业提供包括税务、社保、会计、入库纳统在内的集成化、专业化服务，减轻企业经营负担。协助采购人将该服务逐步推广至园区内其他重点企业。</w:t>
            </w:r>
          </w:p>
          <w:p>
            <w:pPr>
              <w:pStyle w:val="null3"/>
              <w:jc w:val="left"/>
            </w:pPr>
            <w:r>
              <w:rPr>
                <w:rFonts w:ascii="仿宋_GB2312" w:hAnsi="仿宋_GB2312" w:cs="仿宋_GB2312" w:eastAsia="仿宋_GB2312"/>
                <w:sz w:val="21"/>
              </w:rPr>
              <w:t>②协助培育纳统服务</w:t>
            </w:r>
          </w:p>
          <w:p>
            <w:pPr>
              <w:pStyle w:val="null3"/>
              <w:ind w:firstLine="420"/>
              <w:jc w:val="left"/>
            </w:pPr>
            <w:r>
              <w:rPr>
                <w:rFonts w:ascii="仿宋_GB2312" w:hAnsi="仿宋_GB2312" w:cs="仿宋_GB2312" w:eastAsia="仿宋_GB2312"/>
                <w:sz w:val="21"/>
              </w:rPr>
              <w:t>按要求协助采购人完成规上工业企业和营利性服务业企业纳统培育。依照工业与营利性服务业发展指标，协助采购人分别建立纳统培育库、动态跟踪培育库企业发展情况，以及编制全周期成长支持方案。同时协助采购人开展产业政策解读活动、设立资金申报咨询通道，全年开展专题培训活动不低于</w:t>
            </w:r>
            <w:r>
              <w:rPr>
                <w:rFonts w:ascii="仿宋_GB2312" w:hAnsi="仿宋_GB2312" w:cs="仿宋_GB2312" w:eastAsia="仿宋_GB2312"/>
                <w:sz w:val="21"/>
              </w:rPr>
              <w:t>6场次。</w:t>
            </w:r>
          </w:p>
          <w:p>
            <w:pPr>
              <w:pStyle w:val="null3"/>
              <w:jc w:val="left"/>
            </w:pPr>
            <w:r>
              <w:rPr>
                <w:rFonts w:ascii="仿宋_GB2312" w:hAnsi="仿宋_GB2312" w:cs="仿宋_GB2312" w:eastAsia="仿宋_GB2312"/>
                <w:sz w:val="21"/>
              </w:rPr>
              <w:t>③协助开展企业调研服务</w:t>
            </w:r>
          </w:p>
          <w:p>
            <w:pPr>
              <w:pStyle w:val="null3"/>
              <w:ind w:firstLine="420"/>
              <w:jc w:val="left"/>
            </w:pPr>
            <w:r>
              <w:rPr>
                <w:rFonts w:ascii="仿宋_GB2312" w:hAnsi="仿宋_GB2312" w:cs="仿宋_GB2312" w:eastAsia="仿宋_GB2312"/>
                <w:sz w:val="21"/>
              </w:rPr>
              <w:t>组建专业服务团队，依据多方数据进行整合分析，协助采购人对辖区内所有工业、营利性服务业经营单位进行调研。协助采购人收集企业（经营户）基础信息、经营动态及营收规模，协助采购人建立基础台账。每月进行不少于一次的实地调研活动与动态信息校准服务，协助采购人持续完善行业数据库。</w:t>
            </w:r>
          </w:p>
          <w:p>
            <w:pPr>
              <w:pStyle w:val="null3"/>
              <w:jc w:val="left"/>
            </w:pPr>
            <w:r>
              <w:rPr>
                <w:rFonts w:ascii="仿宋_GB2312" w:hAnsi="仿宋_GB2312" w:cs="仿宋_GB2312" w:eastAsia="仿宋_GB2312"/>
                <w:sz w:val="21"/>
              </w:rPr>
              <w:t>④协助建立未纳统企业信息库</w:t>
            </w:r>
          </w:p>
          <w:p>
            <w:pPr>
              <w:pStyle w:val="null3"/>
              <w:ind w:firstLine="420"/>
              <w:jc w:val="left"/>
            </w:pPr>
            <w:r>
              <w:rPr>
                <w:rFonts w:ascii="仿宋_GB2312" w:hAnsi="仿宋_GB2312" w:cs="仿宋_GB2312" w:eastAsia="仿宋_GB2312"/>
                <w:sz w:val="21"/>
              </w:rPr>
              <w:t>以</w:t>
            </w:r>
            <w:r>
              <w:rPr>
                <w:rFonts w:ascii="仿宋_GB2312" w:hAnsi="仿宋_GB2312" w:cs="仿宋_GB2312" w:eastAsia="仿宋_GB2312"/>
                <w:sz w:val="21"/>
              </w:rPr>
              <w:t>“规上工业企业”“营利性服务业规上企业”标准，按照营收规模，分级分类协助采购人建立未纳统企业信息库并实时更新并整合企业规模变动、产能调整及市场布局等关键数据。每月 15 日前汇报相关数据及台账明细。</w:t>
            </w:r>
          </w:p>
          <w:p>
            <w:pPr>
              <w:pStyle w:val="null3"/>
              <w:jc w:val="left"/>
            </w:pPr>
            <w:r>
              <w:rPr>
                <w:rFonts w:ascii="仿宋_GB2312" w:hAnsi="仿宋_GB2312" w:cs="仿宋_GB2312" w:eastAsia="仿宋_GB2312"/>
                <w:sz w:val="21"/>
              </w:rPr>
              <w:t>⑤协助拟定培育纳统措施</w:t>
            </w:r>
          </w:p>
          <w:p>
            <w:pPr>
              <w:pStyle w:val="null3"/>
              <w:ind w:firstLine="420"/>
              <w:jc w:val="left"/>
            </w:pPr>
            <w:r>
              <w:rPr>
                <w:rFonts w:ascii="仿宋_GB2312" w:hAnsi="仿宋_GB2312" w:cs="仿宋_GB2312" w:eastAsia="仿宋_GB2312"/>
                <w:sz w:val="21"/>
              </w:rPr>
              <w:t>立足工业和营利性服务业领域核心工作，聚焦区域产业发展需求，协助采购人整合先进地区经验和做法，提供培育纳统措施咨询服务，并协助采购人拟定浐灞国际港工业和营利性服务业企业培育纳统措施和方案，实现资源整合。</w:t>
            </w:r>
          </w:p>
          <w:p>
            <w:pPr>
              <w:pStyle w:val="null3"/>
              <w:jc w:val="left"/>
            </w:pPr>
            <w:r>
              <w:rPr>
                <w:rFonts w:ascii="仿宋_GB2312" w:hAnsi="仿宋_GB2312" w:cs="仿宋_GB2312" w:eastAsia="仿宋_GB2312"/>
                <w:sz w:val="21"/>
              </w:rPr>
              <w:t>⑥协助开展满意度调查</w:t>
            </w:r>
          </w:p>
          <w:p>
            <w:pPr>
              <w:pStyle w:val="null3"/>
              <w:ind w:firstLine="420"/>
              <w:jc w:val="left"/>
            </w:pPr>
            <w:r>
              <w:rPr>
                <w:rFonts w:ascii="仿宋_GB2312" w:hAnsi="仿宋_GB2312" w:cs="仿宋_GB2312" w:eastAsia="仿宋_GB2312"/>
                <w:sz w:val="21"/>
              </w:rPr>
              <w:t>结合工作实际，协助采购人开展相关企业满意度调查，对相关数据进行整理，协助采购人形成具有针对性的分析报告，为后续服务措施调整提供支撑，促进达标企业规模扩展。</w:t>
            </w:r>
          </w:p>
          <w:p>
            <w:pPr>
              <w:pStyle w:val="null3"/>
              <w:jc w:val="left"/>
            </w:pPr>
            <w:r>
              <w:rPr>
                <w:rFonts w:ascii="仿宋_GB2312" w:hAnsi="仿宋_GB2312" w:cs="仿宋_GB2312" w:eastAsia="仿宋_GB2312"/>
                <w:sz w:val="21"/>
              </w:rPr>
              <w:t>⑦企业孵化服务</w:t>
            </w:r>
          </w:p>
          <w:p>
            <w:pPr>
              <w:pStyle w:val="null3"/>
              <w:jc w:val="both"/>
            </w:pPr>
            <w:r>
              <w:rPr>
                <w:rFonts w:ascii="仿宋_GB2312" w:hAnsi="仿宋_GB2312" w:cs="仿宋_GB2312" w:eastAsia="仿宋_GB2312"/>
                <w:sz w:val="21"/>
              </w:rPr>
              <w:t>发挥第三方服务机构的自身优势，深入挖掘达限企业潜力，协助采购人为企业提供发展规划、资源对接等增值服务，助力企业持续健康发展，协助采购人进一步扩大纳统企业规模。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服务要求：</w:t>
            </w:r>
          </w:p>
          <w:p>
            <w:pPr>
              <w:pStyle w:val="null3"/>
            </w:pPr>
            <w:r>
              <w:rPr>
                <w:rFonts w:ascii="仿宋_GB2312" w:hAnsi="仿宋_GB2312" w:cs="仿宋_GB2312" w:eastAsia="仿宋_GB2312"/>
                <w:sz w:val="21"/>
              </w:rPr>
              <w:t>①协助采购人完成新增规上工业企业纳统；</w:t>
            </w:r>
          </w:p>
          <w:p>
            <w:pPr>
              <w:pStyle w:val="null3"/>
              <w:jc w:val="both"/>
            </w:pPr>
            <w:r>
              <w:rPr>
                <w:rFonts w:ascii="仿宋_GB2312" w:hAnsi="仿宋_GB2312" w:cs="仿宋_GB2312" w:eastAsia="仿宋_GB2312"/>
                <w:sz w:val="21"/>
              </w:rPr>
              <w:t>②协助采购人完成营利性服务业企业纳统；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服务期：自合同签订之日起</w:t>
            </w:r>
            <w:r>
              <w:rPr>
                <w:rFonts w:ascii="仿宋_GB2312" w:hAnsi="仿宋_GB2312" w:cs="仿宋_GB2312" w:eastAsia="仿宋_GB2312"/>
                <w:sz w:val="21"/>
              </w:rPr>
              <w:t>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合同执行期间，安排专人对接落实各项具体事宜，确保服务效果。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合同签订后甲方支付给乙方预付款</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项目验收后甲方一次性支付给乙方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违约责任：按《中华人民共和国民法典》中的相关条款和合同的约定执行。 1.如供应商事先未征得采购人同意单方面延迟交付工作成果，每延误一天的赔偿费按迟延交付成果或未提供服务的服务费用的百分之零点五(0.5％)计收，直至交货或提供服务为止。采购人有权在支付合同款项时扣除迟延交付违约金。迟延交付超过30日的，采购人有权单方解除合同且有权要求供应商根据前述承担违约责任。 2、供应商未按合同要求提供工作成果或其质量不能满足采购人相关要求的，采购人有权单方解除合同且有权要求供应商按照合同总额的10％向采购人承担违约责任。 3.在本合同履行过程中，双方因违约或造成对方经济、社会效益等损失的应当赔偿。 4.供应商未经采购人同意，不得擅自将本合同服务转包第三方承担。 5.合同中各条款约定的违约金可自采购人未支付款项中直接扣除，违约金若不能弥补采购人损失的，供应商还应赔偿采购人损失。 6.双方拟定的其他条款。 解决争议的方法：合同执行中发生争议的，当事人双方应协商解决。协商达不成一致时，双方均有权向采购人所在地人民法院提起诉讼。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王经理，029-88825655。 3.4.2本项目专门面向中小企业，供应商应为中型、小型、微型企业或监狱企业或残疾人福利性单位。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国家市场监督管理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国家市场监督管理总局关于调整优化节能产品、环境标志产品政府采购执行机制的通知》（财库〔2019〕9号）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供应商应提交的相关资格证明材.docx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供应商应提交的相关资格证明材.docx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首次磋商报价表.docx 报价表 响应文件封面 政府采购供应商拒绝政府采购领域商业贿赂承诺书.docx 残疾人福利性单位声明函 标的清单 供应商应提交的相关资格证明材.docx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供应商针对本项目服务内容提供服务具体实施方案，根据方案的完整性、可行性、可实施性等进行评审。方案各项内容全面详细、阐述条理清晰详尽、可实施性较强、能有效保障本项目实施的得（14-22]分;方案各项内容较全面、阐述条理较清晰、可实施性相对较强，得（7-14]分；方案各项内容一般、阐述条理一般、可实施性略差的得（0-7]分；未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进度目标及保障措施</w:t>
            </w:r>
          </w:p>
        </w:tc>
        <w:tc>
          <w:tcPr>
            <w:tcW w:type="dxa" w:w="2492"/>
          </w:tcPr>
          <w:p>
            <w:pPr>
              <w:pStyle w:val="null3"/>
            </w:pPr>
            <w:r>
              <w:rPr>
                <w:rFonts w:ascii="仿宋_GB2312" w:hAnsi="仿宋_GB2312" w:cs="仿宋_GB2312" w:eastAsia="仿宋_GB2312"/>
              </w:rPr>
              <w:t>供应商针对本项目提供详细的进度目标及保障措施；进度目标及保障措施详尽，能够保证服务质量，及时协调解决各类问题，得（6-10]分；进度目标及保障措施较全面，基本保证服务质量，基本能协调解决各类问题，得（3-6]分；进度目标及保障措施简略，保证服务质量，及协调解决各类问题的能力不强，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针对本项目有专业的服务团队，团队组织结构合理，配备齐全。人员配备设置合理，管理及专业人员配备齐全、分工明确、职责清晰得(6-10]分；人员配备设置较合理，管理及专业人员配备齐全、分工及岗位职责较清晰得(3-6]分；人员配备设置基本合理，管理及专业人员分工及岗位职责不清晰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根据项目具体情况提出的关键点、难点、重点进行分析并提出控制措施。分析内容准确，控制措施合理得（6-10]分；分析内容比较准确，控制措施比较合理得（3-6]分；分析内容基本准确，控制措施基本合理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包括：①管理质量；②服务质量；③提供免费业务咨询、指导、培训等增值服务）承诺内容完整详尽，且不限于上述所要求内容的得（6-10]分；承诺内容无缺漏，对上述所要求内容描述符合招标文件的得（3-6]分；不符合上述两种情形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具有针对本项目的保密措施、廉洁措施或承诺。措施全面、合理、规范，可操作性强得（5-8]分；措施相对合理和规范，有相对较强的可操作性得（2-5]分；措施不太合理，可操作性不强得（0-2]分；未提供不得分。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提供2022年1月1日至今类似项目业绩，提供1份得2分，满分10分。（以合同签订时间为准，提供合同复印件加盖公章）未提供不得分。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详见附件：工业及服务业咨询服务--合同文本.docx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