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07DB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首次磋商报价表</w:t>
      </w:r>
    </w:p>
    <w:p w14:paraId="5097511D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5"/>
        <w:tblpPr w:leftFromText="180" w:rightFromText="180" w:vertAnchor="text" w:horzAnchor="page" w:tblpX="1861" w:tblpY="146"/>
        <w:tblOverlap w:val="never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291"/>
        <w:gridCol w:w="2175"/>
        <w:gridCol w:w="1904"/>
      </w:tblGrid>
      <w:tr w14:paraId="0CCFC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55" w:type="dxa"/>
            <w:vAlign w:val="center"/>
          </w:tcPr>
          <w:p w14:paraId="6D8DDAD3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采购内容</w:t>
            </w:r>
          </w:p>
        </w:tc>
        <w:tc>
          <w:tcPr>
            <w:tcW w:w="2291" w:type="dxa"/>
            <w:vAlign w:val="center"/>
          </w:tcPr>
          <w:p w14:paraId="553F5F29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价</w:t>
            </w:r>
          </w:p>
          <w:p w14:paraId="4A866CEF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（元）</w:t>
            </w:r>
          </w:p>
        </w:tc>
        <w:tc>
          <w:tcPr>
            <w:tcW w:w="2175" w:type="dxa"/>
            <w:vAlign w:val="center"/>
          </w:tcPr>
          <w:p w14:paraId="2A23240E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服务期限</w:t>
            </w:r>
          </w:p>
        </w:tc>
        <w:tc>
          <w:tcPr>
            <w:tcW w:w="1904" w:type="dxa"/>
            <w:vAlign w:val="center"/>
          </w:tcPr>
          <w:p w14:paraId="230617E4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3620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255" w:type="dxa"/>
            <w:vAlign w:val="center"/>
          </w:tcPr>
          <w:p w14:paraId="543C030A">
            <w:pPr>
              <w:pStyle w:val="8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工业及服务业咨询服务</w:t>
            </w:r>
          </w:p>
        </w:tc>
        <w:tc>
          <w:tcPr>
            <w:tcW w:w="2291" w:type="dxa"/>
            <w:vAlign w:val="center"/>
          </w:tcPr>
          <w:p w14:paraId="79D94FC9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7B06EB7A">
            <w:pPr>
              <w:pStyle w:val="8"/>
              <w:spacing w:line="240" w:lineRule="auto"/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</w:tc>
        <w:tc>
          <w:tcPr>
            <w:tcW w:w="2175" w:type="dxa"/>
            <w:vAlign w:val="center"/>
          </w:tcPr>
          <w:p w14:paraId="64AA9630">
            <w:pPr>
              <w:pStyle w:val="8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自合同签订之日起1年</w:t>
            </w:r>
          </w:p>
        </w:tc>
        <w:tc>
          <w:tcPr>
            <w:tcW w:w="1904" w:type="dxa"/>
            <w:vAlign w:val="center"/>
          </w:tcPr>
          <w:p w14:paraId="18F80298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162F2C8B">
      <w:pPr>
        <w:pStyle w:val="8"/>
        <w:spacing w:line="240" w:lineRule="auto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注：供应商磋商总报价不得超过最高限价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7071278E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6795148D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</w:t>
      </w:r>
    </w:p>
    <w:p w14:paraId="4D8582C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2C9EBDA2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570FD615">
      <w:pPr>
        <w:spacing w:line="24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br w:type="page"/>
      </w:r>
    </w:p>
    <w:p w14:paraId="3B6888AD">
      <w:pPr>
        <w:pStyle w:val="3"/>
        <w:spacing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分项报价表</w:t>
      </w:r>
    </w:p>
    <w:p w14:paraId="7682C14F"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3390"/>
        <w:gridCol w:w="2205"/>
        <w:gridCol w:w="1666"/>
      </w:tblGrid>
      <w:tr w14:paraId="208D0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69C983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390" w:type="dxa"/>
          </w:tcPr>
          <w:p w14:paraId="21C9387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项目内容</w:t>
            </w:r>
          </w:p>
        </w:tc>
        <w:tc>
          <w:tcPr>
            <w:tcW w:w="2205" w:type="dxa"/>
          </w:tcPr>
          <w:p w14:paraId="61FD112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1666" w:type="dxa"/>
          </w:tcPr>
          <w:p w14:paraId="53F941A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584C5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535E8183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390" w:type="dxa"/>
          </w:tcPr>
          <w:p w14:paraId="2CBD7CED">
            <w:pPr>
              <w:pStyle w:val="8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  <w:t>基础资料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协助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  <w:t>收集</w:t>
            </w:r>
          </w:p>
        </w:tc>
        <w:tc>
          <w:tcPr>
            <w:tcW w:w="2205" w:type="dxa"/>
          </w:tcPr>
          <w:p w14:paraId="275D7187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29EA33FA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11C7E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56363CF2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390" w:type="dxa"/>
          </w:tcPr>
          <w:p w14:paraId="03FA4806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协助培育纳统服务</w:t>
            </w:r>
          </w:p>
        </w:tc>
        <w:tc>
          <w:tcPr>
            <w:tcW w:w="2205" w:type="dxa"/>
          </w:tcPr>
          <w:p w14:paraId="0BB54B6C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7622CF7E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036E3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0DFE23A1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390" w:type="dxa"/>
          </w:tcPr>
          <w:p w14:paraId="764BE717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协助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建立纳统培育库</w:t>
            </w:r>
          </w:p>
        </w:tc>
        <w:tc>
          <w:tcPr>
            <w:tcW w:w="2205" w:type="dxa"/>
          </w:tcPr>
          <w:p w14:paraId="2776C4A7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41E6F16D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051B1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363BCA79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390" w:type="dxa"/>
          </w:tcPr>
          <w:p w14:paraId="65241890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协助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建立未纳统企业信息库</w:t>
            </w:r>
          </w:p>
        </w:tc>
        <w:tc>
          <w:tcPr>
            <w:tcW w:w="2205" w:type="dxa"/>
          </w:tcPr>
          <w:p w14:paraId="4927C139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515F38C0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124C8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18076DF6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390" w:type="dxa"/>
          </w:tcPr>
          <w:p w14:paraId="057A5D3C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协助开展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满意度调查</w:t>
            </w:r>
          </w:p>
        </w:tc>
        <w:tc>
          <w:tcPr>
            <w:tcW w:w="2205" w:type="dxa"/>
          </w:tcPr>
          <w:p w14:paraId="5B1F4701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5BEB5F53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07111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</w:tcPr>
          <w:p w14:paraId="5525BA37">
            <w:pPr>
              <w:pStyle w:val="8"/>
              <w:spacing w:line="240" w:lineRule="auto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3390" w:type="dxa"/>
          </w:tcPr>
          <w:p w14:paraId="0D1B03E3">
            <w:pPr>
              <w:pStyle w:val="8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2205" w:type="dxa"/>
          </w:tcPr>
          <w:p w14:paraId="0DAEDC67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507B1766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6EDF1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1" w:type="dxa"/>
            <w:gridSpan w:val="2"/>
          </w:tcPr>
          <w:p w14:paraId="5A4FFE4E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  <w:t>磋商总报价</w:t>
            </w:r>
          </w:p>
        </w:tc>
        <w:tc>
          <w:tcPr>
            <w:tcW w:w="2205" w:type="dxa"/>
          </w:tcPr>
          <w:p w14:paraId="3CBC6C1E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1666" w:type="dxa"/>
          </w:tcPr>
          <w:p w14:paraId="11BF075D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70B0B7A3">
      <w:pPr>
        <w:pStyle w:val="8"/>
        <w:spacing w:line="240" w:lineRule="auto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注：1.供应商磋商总报价不得超过最高限价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7EDFBD77">
      <w:pPr>
        <w:pStyle w:val="8"/>
        <w:numPr>
          <w:ilvl w:val="0"/>
          <w:numId w:val="0"/>
        </w:num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分项报价汇总表中磋商总报价须与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首次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磋商报价表中磋商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总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报价一致。</w:t>
      </w:r>
    </w:p>
    <w:p w14:paraId="1B7801F0">
      <w:pPr>
        <w:pStyle w:val="4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00" w:firstLineChars="200"/>
        <w:jc w:val="left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 w:bidi="ar-SA"/>
        </w:rPr>
        <w:t>3.供应商可结合自身情况，自行增加报价内容。</w:t>
      </w:r>
    </w:p>
    <w:p w14:paraId="7F9E2AB9">
      <w:pPr>
        <w:pStyle w:val="8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</w:p>
    <w:p w14:paraId="61033BA1">
      <w:pPr>
        <w:pStyle w:val="8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</w:p>
    <w:p w14:paraId="7E830630">
      <w:pPr>
        <w:pStyle w:val="8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供  应  商：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>（公      章）</w:t>
      </w:r>
    </w:p>
    <w:p w14:paraId="60E3922D">
      <w:pPr>
        <w:pStyle w:val="8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委托代理人：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 xml:space="preserve">                      （签字或盖章）</w:t>
      </w:r>
    </w:p>
    <w:p w14:paraId="32D91EAA">
      <w:pPr>
        <w:pStyle w:val="8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      期：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</w:t>
      </w:r>
    </w:p>
    <w:p w14:paraId="58B5AE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643D3"/>
    <w:rsid w:val="5A86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2025-05-28T03:06:00Z</dcterms:created>
  <dc:creator>W</dc:creator>
  <cp:lastModifiedBy>W</cp:lastModifiedBy>
  <dcterms:modified xsi:type="dcterms:W3CDTF">2025-05-28T03:06:34Z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9BBA94BB2DC34C8D975D0D041348C680_11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