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版本号：CGZC2025-060、SCZC2025-ZB-1069-00120250530001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2025-2027年浐灞国际港政务服务中心（南厅）新开办企业免费刻章服务项目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CGZC2025-060、SCZC2025-ZB-1069-001</w:t>
      </w:r>
      <w:r>
        <w:br/>
      </w:r>
      <w:r>
        <w:br/>
      </w:r>
      <w:r>
        <w:br/>
      </w:r>
    </w:p>
    <w:p>
      <w:pPr>
        <w:pStyle w:val="null3"/>
        <w:jc w:val="center"/>
        <w:outlineLvl w:val="2"/>
      </w:pPr>
      <w:r>
        <w:rPr>
          <w:rFonts w:ascii="仿宋_GB2312" w:hAnsi="仿宋_GB2312" w:cs="仿宋_GB2312" w:eastAsia="仿宋_GB2312"/>
          <w:sz w:val="28"/>
          <w:b/>
        </w:rPr>
        <w:t>西安浐灞国际港政务数据局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西安浐灞国际港政务数据局</w:t>
      </w:r>
      <w:r>
        <w:rPr>
          <w:rFonts w:ascii="仿宋_GB2312" w:hAnsi="仿宋_GB2312" w:cs="仿宋_GB2312" w:eastAsia="仿宋_GB2312"/>
        </w:rPr>
        <w:t>委托，拟对</w:t>
      </w:r>
      <w:r>
        <w:rPr>
          <w:rFonts w:ascii="仿宋_GB2312" w:hAnsi="仿宋_GB2312" w:cs="仿宋_GB2312" w:eastAsia="仿宋_GB2312"/>
        </w:rPr>
        <w:t>2025-2027年浐灞国际港政务服务中心（南厅）新开办企业免费刻章服务项目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CGZC2025-060、SCZC2025-ZB-1069-001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2025-2027年浐灞国际港政务服务中心（南厅）新开办企业免费刻章服务项目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持续优化浐灞国际港营商环境，着力解决企业开办时间长、成本高等问题，浐灞国际港计划为区域新开办企业提供免费刻章服务，服务期限2年。为组织好此项工作，现按照国家法律、法规的相关规定要求，拟对有关服务项目实施政府采购程序。</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采购包1（2025-2027年浐灞国际港政务服务中心（南厅）新开办企业免费刻章服务项目）：属于专门面向中小企业采购。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投标的，应提供法定代表人或单位负责人身份证明。授权代表参加投标的，应提供法定代表人或单位负责人身份证明、授权委托书及授权代表在本单位缴纳养老保险的证明</w:t>
      </w:r>
    </w:p>
    <w:p>
      <w:pPr>
        <w:pStyle w:val="null3"/>
      </w:pPr>
      <w:r>
        <w:rPr>
          <w:rFonts w:ascii="仿宋_GB2312" w:hAnsi="仿宋_GB2312" w:cs="仿宋_GB2312" w:eastAsia="仿宋_GB2312"/>
        </w:rPr>
        <w:t>2、资格证书：投标人具有公安部门核发的《特种行业许可证》或在公安机关备案（提供备案证明）</w:t>
      </w:r>
    </w:p>
    <w:p>
      <w:pPr>
        <w:pStyle w:val="null3"/>
      </w:pPr>
      <w:r>
        <w:rPr>
          <w:rFonts w:ascii="仿宋_GB2312" w:hAnsi="仿宋_GB2312" w:cs="仿宋_GB2312" w:eastAsia="仿宋_GB2312"/>
        </w:rPr>
        <w:t>3、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西安浐灞国际港政务数据局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西安浐灞国际港浐灞大道1号浐灞商务中心一期</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029-83596034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李峻豪、王莉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029-8359593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代理服务费收费标准：参照原国家计委计价格〔2002〕1980号文的计算方法按项目预算收取，代理服务费包含在供应商的报价中。 代理服务费交纳信息： 银行户名：陕西省采购招标有限责任公司 开户银行：中国光大银行西安友谊路支行 账号：78560188000095264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西安浐灞国际港政务数据局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西安浐灞国际港政务数据局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西安浐灞国际港政务数据局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持续优化浐灞国际港营商环境，着力解决企业开办时间长、成本高等问题，浐灞国际港计划为区域新开办企业提供免费刻章服务，服务期限2年。为组织好此项工作，现按照国家法律、法规的相关规定要求，拟对有关服务项目实施政府采购程序。本项目单价最高限价为：365元/套。注：每套印章为公章、法人章、发票专用章、财务专用章、合同专用章共5枚印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6,500,000.00</w:t>
      </w:r>
    </w:p>
    <w:p>
      <w:pPr>
        <w:pStyle w:val="null3"/>
      </w:pPr>
      <w:r>
        <w:rPr>
          <w:rFonts w:ascii="仿宋_GB2312" w:hAnsi="仿宋_GB2312" w:cs="仿宋_GB2312" w:eastAsia="仿宋_GB2312"/>
        </w:rPr>
        <w:t>采购包最高限价（元）: 6,500,000.00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2025-2027年浐灞国际港政务服务中心（南厅）新开办企业免费刻章服务项目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标的名称：2025-2027年浐灞国际港政务服务中心（南厅）新开办企业免费刻章服务项目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严格贯彻落实《中华人民共和国公安部关于加强刻字业治安管理打击伪造印章犯罪活动的通告》（公通字[1993]104号）、《印铸刻字业暂行管理规则》、《关于认真落实国务院调整旅馆业、公章刻制业和典当业后置行政审批有关事项的通知》（陕公治【2015】52号）、《西安市特种行业治安管理条例》等政策条例。印章刻制标准须符合《中华人民共和国公共安全行业标准》GA241.9-2000国家标准及《中国印章行业团体标准》T/CYZIA005-2017行业标准；所提供印章材质须通过公安部防伪产品质量检验中心检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印章刻制五枚（单位专用章、财务专用章、合同专用章、发票专用章、法定代表人章），材质为防伪铜质印章。具体规格尺寸参考如下（以目前西安市印章刻制标准参数为准）：</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印章名称</w:t>
                  </w:r>
                </w:p>
              </w:tc>
              <w:tc>
                <w:tcPr>
                  <w:tcW w:type="dxa" w:w="851"/>
                </w:tcPr>
                <w:p>
                  <w:pPr>
                    <w:pStyle w:val="null3"/>
                  </w:pPr>
                  <w:r>
                    <w:rPr>
                      <w:rFonts w:ascii="仿宋_GB2312" w:hAnsi="仿宋_GB2312" w:cs="仿宋_GB2312" w:eastAsia="仿宋_GB2312"/>
                    </w:rPr>
                    <w:t>规格尺寸</w:t>
                  </w:r>
                </w:p>
              </w:tc>
              <w:tc>
                <w:tcPr>
                  <w:tcW w:type="dxa" w:w="851"/>
                </w:tcPr>
                <w:p>
                  <w:pPr>
                    <w:pStyle w:val="null3"/>
                  </w:pPr>
                  <w:r>
                    <w:rPr>
                      <w:rFonts w:ascii="仿宋_GB2312" w:hAnsi="仿宋_GB2312" w:cs="仿宋_GB2312" w:eastAsia="仿宋_GB2312"/>
                    </w:rPr>
                    <w:t>材 质</w:t>
                  </w:r>
                </w:p>
              </w:tc>
            </w:tr>
            <w:tr>
              <w:tc>
                <w:tcPr>
                  <w:tcW w:type="dxa" w:w="851"/>
                </w:tcPr>
                <w:p>
                  <w:pPr>
                    <w:pStyle w:val="null3"/>
                  </w:pPr>
                  <w:r>
                    <w:rPr>
                      <w:rFonts w:ascii="仿宋_GB2312" w:hAnsi="仿宋_GB2312" w:cs="仿宋_GB2312" w:eastAsia="仿宋_GB2312"/>
                    </w:rPr>
                    <w:t>公章</w:t>
                  </w:r>
                </w:p>
              </w:tc>
              <w:tc>
                <w:tcPr>
                  <w:tcW w:type="dxa" w:w="851"/>
                </w:tcPr>
                <w:p>
                  <w:pPr>
                    <w:pStyle w:val="null3"/>
                  </w:pPr>
                  <w:r>
                    <w:rPr>
                      <w:rFonts w:ascii="仿宋_GB2312" w:hAnsi="仿宋_GB2312" w:cs="仿宋_GB2312" w:eastAsia="仿宋_GB2312"/>
                    </w:rPr>
                    <w:t>一律为圆形，直径为40mm,圆边宽1.2mm，中央刊五角星（五角星直径14mm）五角星外刊企业名称自左而右环行印文使用简化的宋体字。</w:t>
                  </w:r>
                </w:p>
              </w:tc>
              <w:tc>
                <w:tcPr>
                  <w:tcW w:type="dxa" w:w="851"/>
                </w:tcPr>
                <w:p>
                  <w:pPr>
                    <w:pStyle w:val="null3"/>
                  </w:pPr>
                  <w:r>
                    <w:rPr>
                      <w:rFonts w:ascii="仿宋_GB2312" w:hAnsi="仿宋_GB2312" w:cs="仿宋_GB2312" w:eastAsia="仿宋_GB2312"/>
                    </w:rPr>
                    <w:t>铜制 刻制深度≥60丝</w:t>
                  </w:r>
                </w:p>
              </w:tc>
            </w:tr>
            <w:tr>
              <w:tc>
                <w:tcPr>
                  <w:tcW w:type="dxa" w:w="851"/>
                </w:tcPr>
                <w:p>
                  <w:pPr>
                    <w:pStyle w:val="null3"/>
                  </w:pPr>
                  <w:r>
                    <w:rPr>
                      <w:rFonts w:ascii="仿宋_GB2312" w:hAnsi="仿宋_GB2312" w:cs="仿宋_GB2312" w:eastAsia="仿宋_GB2312"/>
                    </w:rPr>
                    <w:t>法人章</w:t>
                  </w:r>
                </w:p>
              </w:tc>
              <w:tc>
                <w:tcPr>
                  <w:tcW w:type="dxa" w:w="851"/>
                </w:tcPr>
                <w:p>
                  <w:pPr>
                    <w:pStyle w:val="null3"/>
                  </w:pPr>
                  <w:r>
                    <w:rPr>
                      <w:rFonts w:ascii="仿宋_GB2312" w:hAnsi="仿宋_GB2312" w:cs="仿宋_GB2312" w:eastAsia="仿宋_GB2312"/>
                    </w:rPr>
                    <w:t>通常为正方形（一般为20mm*20mm，无中心图案）。根据银行要求，法人章需要使用质地坚硬的材料，法人章字体上没有统一要求，可根据个人自行选择笔画较为方正的字体。</w:t>
                  </w:r>
                </w:p>
              </w:tc>
              <w:tc>
                <w:tcPr>
                  <w:tcW w:type="dxa" w:w="851"/>
                  <w:vMerge w:val="restart"/>
                </w:tcPr>
                <w:p>
                  <w:pPr>
                    <w:pStyle w:val="null3"/>
                  </w:pPr>
                  <w:r>
                    <w:rPr>
                      <w:rFonts w:ascii="仿宋_GB2312" w:hAnsi="仿宋_GB2312" w:cs="仿宋_GB2312" w:eastAsia="仿宋_GB2312"/>
                    </w:rPr>
                    <w:t>铜制 刻制深度≥60丝</w:t>
                  </w:r>
                </w:p>
              </w:tc>
            </w:tr>
            <w:tr>
              <w:tc>
                <w:tcPr>
                  <w:tcW w:type="dxa" w:w="851"/>
                </w:tcPr>
                <w:p>
                  <w:pPr>
                    <w:pStyle w:val="null3"/>
                  </w:pPr>
                  <w:r>
                    <w:rPr>
                      <w:rFonts w:ascii="仿宋_GB2312" w:hAnsi="仿宋_GB2312" w:cs="仿宋_GB2312" w:eastAsia="仿宋_GB2312"/>
                    </w:rPr>
                    <w:t>发票</w:t>
                  </w:r>
                </w:p>
                <w:p>
                  <w:pPr>
                    <w:pStyle w:val="null3"/>
                  </w:pPr>
                  <w:r>
                    <w:rPr>
                      <w:rFonts w:ascii="仿宋_GB2312" w:hAnsi="仿宋_GB2312" w:cs="仿宋_GB2312" w:eastAsia="仿宋_GB2312"/>
                    </w:rPr>
                    <w:t>专用章</w:t>
                  </w:r>
                </w:p>
              </w:tc>
              <w:tc>
                <w:tcPr>
                  <w:tcW w:type="dxa" w:w="851"/>
                </w:tcPr>
                <w:p>
                  <w:pPr>
                    <w:pStyle w:val="null3"/>
                  </w:pPr>
                  <w:r>
                    <w:rPr>
                      <w:rFonts w:ascii="仿宋_GB2312" w:hAnsi="仿宋_GB2312" w:cs="仿宋_GB2312" w:eastAsia="仿宋_GB2312"/>
                    </w:rPr>
                    <w:t>（1）发票专用章形状为椭圆形，长轴为40mm，短轴为30mm；中间为税号，18位阿拉伯数字字高3.7，字宽1.3，18位阿拉伯数字总宽度26mm（字体为Arial）（2）税号上方环排中文文字高4.2mm，环排角度（夹角）210-260度，字与边线内侧的距离0.5mm（字体为仿宋体）；（3）税号下横排“发票专用章”文字字高4.6mm，字宽3mm，印章中心线到下横排字顶端距离4.2mm（字体为仿宋体）；（4）发票专用章下横排号码字高2.2mm，字宽1.7mm，印章中心线到下横排号码顶端距离10mm（字体为Arial）。</w:t>
                  </w:r>
                </w:p>
              </w:tc>
              <w:tc>
                <w:tcPr>
                  <w:tcW w:type="dxa" w:w="851"/>
                  <w:vMerge/>
                </w:tcPr>
                <w:p/>
              </w:tc>
            </w:tr>
            <w:tr>
              <w:tc>
                <w:tcPr>
                  <w:tcW w:type="dxa" w:w="851"/>
                </w:tcPr>
                <w:p>
                  <w:pPr>
                    <w:pStyle w:val="null3"/>
                  </w:pPr>
                  <w:r>
                    <w:rPr>
                      <w:rFonts w:ascii="仿宋_GB2312" w:hAnsi="仿宋_GB2312" w:cs="仿宋_GB2312" w:eastAsia="仿宋_GB2312"/>
                    </w:rPr>
                    <w:t>财务专用章</w:t>
                  </w:r>
                </w:p>
              </w:tc>
              <w:tc>
                <w:tcPr>
                  <w:tcW w:type="dxa" w:w="851"/>
                </w:tcPr>
                <w:p>
                  <w:pPr>
                    <w:pStyle w:val="null3"/>
                  </w:pPr>
                  <w:r>
                    <w:rPr>
                      <w:rFonts w:ascii="仿宋_GB2312" w:hAnsi="仿宋_GB2312" w:cs="仿宋_GB2312" w:eastAsia="仿宋_GB2312"/>
                    </w:rPr>
                    <w:t>形状为圆形，直径尺寸为38mm，圆边宽1.2mm，中央刊五角星（五角星直径11mm），五角星外刊企业名称自左而右环行印文，使用简化的宋体字，下横排刊财务专用章。</w:t>
                  </w:r>
                </w:p>
              </w:tc>
              <w:tc>
                <w:tcPr>
                  <w:tcW w:type="dxa" w:w="851"/>
                  <w:vMerge/>
                </w:tcPr>
                <w:p/>
              </w:tc>
            </w:tr>
            <w:tr>
              <w:tc>
                <w:tcPr>
                  <w:tcW w:type="dxa" w:w="851"/>
                </w:tcPr>
                <w:p>
                  <w:pPr>
                    <w:pStyle w:val="null3"/>
                  </w:pPr>
                  <w:r>
                    <w:rPr>
                      <w:rFonts w:ascii="仿宋_GB2312" w:hAnsi="仿宋_GB2312" w:cs="仿宋_GB2312" w:eastAsia="仿宋_GB2312"/>
                    </w:rPr>
                    <w:t>合同专用章</w:t>
                  </w:r>
                </w:p>
              </w:tc>
              <w:tc>
                <w:tcPr>
                  <w:tcW w:type="dxa" w:w="851"/>
                </w:tcPr>
                <w:p>
                  <w:pPr>
                    <w:pStyle w:val="null3"/>
                  </w:pPr>
                  <w:r>
                    <w:rPr>
                      <w:rFonts w:ascii="仿宋_GB2312" w:hAnsi="仿宋_GB2312" w:cs="仿宋_GB2312" w:eastAsia="仿宋_GB2312"/>
                    </w:rPr>
                    <w:t>形状为圆形，直径42mm，圆边宽1.2mm，中央刊五角星（五角星直径14mm），五角星外刊企业名称自左而右环行印文，使用简化的宋体字，下横排刊合同专用章，如需多枚章则在下加数字。</w:t>
                  </w:r>
                </w:p>
              </w:tc>
              <w:tc>
                <w:tcPr>
                  <w:tcW w:type="dxa" w:w="851"/>
                  <w:vMerge/>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配备充足人员在浐灞国际港政务服务中心（南厅）驻场进行服务。驻场人员服从浐灞国际港政务服务中心管理要求。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1、印章刻制及送达时间需小于2小时。如印章刻制出现问题，应立刻响应，1小时内解决问题。对刻制的印章提供一年免费质保，在质保期内，如有名称字迹刻错及不清晰，免费更改。 2、具备印章档案管理制度，妥善完整保存各年度印章相关记录及资料，方便采购方日常查阅；具备定期培训制度，定期对工作人员的业务能力及保密意识进行培训，提升工作能力水平；具备设备定期巡检制度，确保服务平稳不间断。</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乙方拟派工作人员在浐灞国际港政务服务中心（南厅）驻场进行服务，入场人员服从浐灞国际港政务服务中心管理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乙方每季度上报印章刻制相关资料至甲方审核，根据审核确认的数量及合同单价据实结算，结算前供应方向采购方出具等额发票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支付方式中一次付清指一次性付清每季度据实结算后的款项，支付约定中支付合同总金额的100.00% 指每季度据实结算后100%的款项。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供应商需在项目电子化交易系统中按要求填写《投标函》完成承诺，提交相应资格证明文件并进行电子签章。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（1）提供2024年度财务报表复印件，应满足以下要求：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②投标人适用《事业单位会计准则》的，财务报表是指上述指定年度整个会计年度财务报表（不要求必须是经审计的），复印件至少须包括资产负债表、收入支出表（或收入费用表）、财政补助收入支出表。 ③投标人适用《政府会计准则》的，财务报表是指上述指定年度整个会计年度财务报表（不要求必须是经审计的），复印件至少须包括资产负债表、收入费用表。 ④投标人适用《民间非营利组织会计制度》的，财务报表是指上述指定年度整个会计年度财务报表（不要求必须是经审计的），复印件至少须包括资产负债表、业务活动表、现金流量表。 ⑤投标人是上述四种情况以外情况的，按照其依法适用的会计制度、财务规则或会计准则提供 财务报表复印件（不要求必须是经审计的）。 （2）提供资信证明原件扫描件或复印件，应满足以下要求： ①资信证明须为递交投标文件截止时间前三个月内由投标人开户银行出具。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法定代表人或单位负责人参加投标的，应提供法定代表人或单位负责人身份证明。授权代表参加投标的，应提供法定代表人或单位负责人身份证明、授权委托书及授权代表在本单位缴纳养老保险的证明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投标人具有公安部门核发的《特种行业许可证》或在公安机关备案（提供备案证明）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项目所属行业：其他未列明行业。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供应商参加政府采购活动承诺书 投标函 报价表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投标内容不存在漏项或数量不符合招标文件规定情形，投标内容满足招标文件的商务、技术等实质性要求。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不存在其他不符合法律法规或招标文件规定的投标无效条款的情形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2022年1月1日至今（以合同签订日期为准）的类似项目业绩，投标文件中至少提供合同关键页（合同首页、服务内容页及双方签字盖章页）复印件并加盖投标人公章，提供1个得2分，满分10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包含服务工作流程、接待工作方案、印章刻制服务方案等）描述满足采购要求、细节考虑到位、且能考虑到用户的实际使用情况。方案描述完整、科学合理且可操作性强、细节描述详细计15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产品技术资料</w:t>
            </w:r>
          </w:p>
        </w:tc>
        <w:tc>
          <w:tcPr>
            <w:tcW w:type="dxa" w:w="2492"/>
          </w:tcPr>
          <w:p>
            <w:pPr>
              <w:pStyle w:val="null3"/>
            </w:pPr>
            <w:r>
              <w:rPr>
                <w:rFonts w:ascii="仿宋_GB2312" w:hAnsi="仿宋_GB2312" w:cs="仿宋_GB2312" w:eastAsia="仿宋_GB2312"/>
              </w:rPr>
              <w:t>针对本项目投标产品有详细的产品技术资料（样图、效果图、规格、材质、质量证书等）。产品技术资料详尽完整齐全、图片清晰计10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供应商具有印章刻制加工能力并提供拟投入设备的证明材料。证明材料完善、设备齐全、专业能力强计10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针对本项目明确刻章所需原材料的进货渠道，且货源渠道正规，具有确保印章刻制质量的技术保障措施。原材料的进货渠道明确，技术保障措施完善、合理、可操作性强计9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团队人员配备。项目团队人员配备齐全，项目负责人及团队人员具有专业的印章服务工作经验，人员岗位分工及职责明确、合理计10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项目执行过程中的突发事件具有切实可行的应急预案。预案全面完整，科学合理计6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有完善的项目资料保密措施。保密措施完整全面、科学合理、切实可行计6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制定符合实际情况的售后服务承诺。售后服务承诺清晰明确、具有针对性计6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本项目服务保障措施（包含交付时间、产品质量、服务质量等）。保障措施完整、细节描述详细，满足采购要求，能达到好的使用效果，能按照采购人要求的时间内出章计8分。若上述内容存在缺陷，每出现一处缺陷扣1分，扣完为止。“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详见附件：供应商参加政府采购活动承诺书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