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EF0354">
      <w:pPr>
        <w:keepNext w:val="0"/>
        <w:keepLines w:val="0"/>
        <w:pageBreakBefore w:val="0"/>
        <w:kinsoku/>
        <w:wordWrap/>
        <w:topLinePunct w:val="0"/>
        <w:bidi w:val="0"/>
        <w:snapToGrid/>
        <w:spacing w:line="360" w:lineRule="auto"/>
        <w:jc w:val="center"/>
        <w:textAlignment w:val="auto"/>
        <w:rPr>
          <w:rFonts w:hint="eastAsia" w:ascii="宋体" w:hAnsi="宋体" w:eastAsia="宋体" w:cs="宋体"/>
          <w:color w:val="auto"/>
          <w:sz w:val="24"/>
          <w:szCs w:val="32"/>
          <w:highlight w:val="none"/>
          <w:lang w:eastAsia="zh-CN"/>
        </w:rPr>
      </w:pPr>
      <w:r>
        <w:rPr>
          <w:rFonts w:hint="eastAsia" w:ascii="宋体" w:hAnsi="宋体" w:cs="宋体"/>
          <w:b/>
          <w:bCs/>
          <w:color w:val="auto"/>
          <w:sz w:val="32"/>
          <w:szCs w:val="32"/>
          <w:highlight w:val="none"/>
        </w:rPr>
        <w:t>合同草案条款</w:t>
      </w:r>
    </w:p>
    <w:p w14:paraId="5361F54B">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采购人（以下简称甲方）：</w:t>
      </w:r>
    </w:p>
    <w:p w14:paraId="5BB3DA71">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32"/>
          <w:highlight w:val="none"/>
        </w:rPr>
      </w:pPr>
      <w:r>
        <w:rPr>
          <w:rFonts w:hint="eastAsia" w:ascii="宋体" w:hAnsi="宋体" w:eastAsia="宋体" w:cs="宋体"/>
          <w:color w:val="auto"/>
          <w:sz w:val="24"/>
          <w:szCs w:val="32"/>
          <w:highlight w:val="none"/>
        </w:rPr>
        <w:t>供应商（以下简称乙方）：</w:t>
      </w:r>
    </w:p>
    <w:p w14:paraId="20EDBCFD">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根据《中华人民共和国民法典》、《中华人民共和国政府采购法》及其它有关法律、行政法规，为明确双方在</w:t>
      </w:r>
      <w:r>
        <w:rPr>
          <w:rFonts w:hint="eastAsia" w:ascii="宋体" w:hAnsi="宋体" w:eastAsia="宋体" w:cs="宋体"/>
          <w:bCs/>
          <w:color w:val="auto"/>
          <w:sz w:val="24"/>
          <w:highlight w:val="none"/>
          <w:lang w:eastAsia="zh-CN"/>
        </w:rPr>
        <w:t>实施</w:t>
      </w:r>
      <w:r>
        <w:rPr>
          <w:rFonts w:hint="eastAsia" w:ascii="宋体" w:hAnsi="宋体" w:eastAsia="宋体" w:cs="宋体"/>
          <w:bCs/>
          <w:color w:val="auto"/>
          <w:sz w:val="24"/>
          <w:highlight w:val="none"/>
        </w:rPr>
        <w:t>过程中的权利、义务，经双方协商自愿签订本合同。</w:t>
      </w:r>
    </w:p>
    <w:p w14:paraId="33BFBA92">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一、合同组成</w:t>
      </w:r>
    </w:p>
    <w:p w14:paraId="40E9CCD7">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下述文件是构成本合同不可分割的部分</w:t>
      </w:r>
      <w:r>
        <w:rPr>
          <w:rFonts w:hint="eastAsia" w:ascii="宋体" w:hAnsi="宋体" w:eastAsia="宋体" w:cs="宋体"/>
          <w:color w:val="auto"/>
          <w:sz w:val="24"/>
          <w:highlight w:val="none"/>
        </w:rPr>
        <w:t>:</w:t>
      </w:r>
    </w:p>
    <w:p w14:paraId="1AC29C16">
      <w:pPr>
        <w:keepNext w:val="0"/>
        <w:keepLines w:val="0"/>
        <w:pageBreakBefore w:val="0"/>
        <w:kinsoku/>
        <w:wordWrap/>
        <w:topLinePunct w:val="0"/>
        <w:autoSpaceDE w:val="0"/>
        <w:autoSpaceDN w:val="0"/>
        <w:bidi w:val="0"/>
        <w:adjustRightInd w:val="0"/>
        <w:snapToGrid/>
        <w:spacing w:line="348" w:lineRule="auto"/>
        <w:ind w:left="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zh-CN"/>
        </w:rPr>
        <w:t>本合同条款及其所有附件。</w:t>
      </w:r>
    </w:p>
    <w:p w14:paraId="7156FD48">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甲方的磋商文件及澄清文件。</w:t>
      </w:r>
    </w:p>
    <w:p w14:paraId="75C51B3F">
      <w:pPr>
        <w:keepNext w:val="0"/>
        <w:keepLines w:val="0"/>
        <w:pageBreakBefore w:val="0"/>
        <w:kinsoku/>
        <w:wordWrap/>
        <w:topLinePunct w:val="0"/>
        <w:autoSpaceDE w:val="0"/>
        <w:autoSpaceDN w:val="0"/>
        <w:bidi w:val="0"/>
        <w:adjustRightInd w:val="0"/>
        <w:snapToGrid/>
        <w:spacing w:line="348" w:lineRule="auto"/>
        <w:ind w:firstLine="480"/>
        <w:jc w:val="left"/>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zh-CN"/>
        </w:rPr>
        <w:t>乙方的磋商响应文件及质疑解答文件。</w:t>
      </w:r>
    </w:p>
    <w:p w14:paraId="37775627">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w:t>
      </w: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zh-CN"/>
        </w:rPr>
        <w:t>成交通知书。</w:t>
      </w:r>
    </w:p>
    <w:p w14:paraId="0C52E53C">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zh-CN"/>
        </w:rPr>
        <w:t>法定代表人授权书。</w:t>
      </w:r>
    </w:p>
    <w:p w14:paraId="3E48450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（6）双方与合同有关的往来信函、传真经双方法定代表人或其授权代表签字并加盖单位公章确认后视为本合同的组成部分。</w:t>
      </w:r>
    </w:p>
    <w:p w14:paraId="2EB6E601">
      <w:pPr>
        <w:keepNext w:val="0"/>
        <w:keepLines w:val="0"/>
        <w:pageBreakBefore w:val="0"/>
        <w:kinsoku/>
        <w:wordWrap/>
        <w:topLinePunct w:val="0"/>
        <w:autoSpaceDE w:val="0"/>
        <w:autoSpaceDN w:val="0"/>
        <w:bidi w:val="0"/>
        <w:adjustRightInd w:val="0"/>
        <w:snapToGrid/>
        <w:spacing w:line="348" w:lineRule="auto"/>
        <w:ind w:firstLine="480"/>
        <w:textAlignment w:val="auto"/>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rPr>
        <w:t>（7）经双方法定代表人或其授权代表签字并加盖单位公章确认的补充协议。</w:t>
      </w:r>
    </w:p>
    <w:p w14:paraId="5943ED10">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val="zh-CN"/>
        </w:rPr>
        <w:t>如果乙方的磋商响应文件及质疑解答文件内容违背或低于甲方磋商文件要求或任何可能导致影响当次采购目的的情形，均应当被视为乙方自动放弃磋商响应文件及质疑解答文件中相应部分而同意以磋商文件相应内容为准。如果乙方的磋商响应文件及质疑解答文件内容高于甲方磋商文件要求，则以乙方的磋商响应文件及质疑解答文件内容为准。如果合同条款与合同附件有矛盾之处，以合同条款内容为准。</w:t>
      </w:r>
      <w:r>
        <w:rPr>
          <w:rFonts w:hint="eastAsia" w:ascii="宋体" w:hAnsi="宋体" w:eastAsia="宋体" w:cs="宋体"/>
          <w:color w:val="auto"/>
          <w:sz w:val="24"/>
          <w:highlight w:val="none"/>
        </w:rPr>
        <w:t>如果合同附件之间有矛盾之处，以有利于甲方的附件内容为准。</w:t>
      </w:r>
    </w:p>
    <w:p w14:paraId="5C988857">
      <w:pPr>
        <w:keepNext w:val="0"/>
        <w:keepLines w:val="0"/>
        <w:pageBreakBefore w:val="0"/>
        <w:kinsoku/>
        <w:wordWrap/>
        <w:overflowPunct w:val="0"/>
        <w:topLinePunct w:val="0"/>
        <w:bidi w:val="0"/>
        <w:snapToGrid/>
        <w:spacing w:line="348" w:lineRule="auto"/>
        <w:ind w:firstLine="480"/>
        <w:textAlignment w:val="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3.上述合同文件应能够相互解释、相互说明。如合同文件之间出现不一致，除本合同另有约定外，第（1）款至（6）款的排列顺序就是合同文件的优先解释顺序。对于第（7）款中双方达成的补充协议与原合同（包括（1）-（6）款中所列的所有文件）存在不一致，以签订日期在后的补充协议为准。</w:t>
      </w:r>
    </w:p>
    <w:p w14:paraId="6AAD4F3D">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二、项目概况</w:t>
      </w:r>
    </w:p>
    <w:p w14:paraId="6B39EF2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highlight w:val="none"/>
        </w:rPr>
        <w:t>1.</w:t>
      </w:r>
      <w:r>
        <w:rPr>
          <w:rFonts w:hint="eastAsia" w:ascii="宋体" w:hAnsi="宋体" w:eastAsia="宋体" w:cs="宋体"/>
          <w:bCs/>
          <w:color w:val="auto"/>
          <w:sz w:val="24"/>
          <w:highlight w:val="none"/>
          <w:lang w:eastAsia="zh-CN"/>
        </w:rPr>
        <w:t>采购</w:t>
      </w:r>
      <w:r>
        <w:rPr>
          <w:rFonts w:hint="eastAsia" w:ascii="宋体" w:hAnsi="宋体" w:eastAsia="宋体" w:cs="宋体"/>
          <w:bCs/>
          <w:color w:val="auto"/>
          <w:sz w:val="24"/>
          <w:highlight w:val="none"/>
        </w:rPr>
        <w:t>内容：</w:t>
      </w:r>
    </w:p>
    <w:p w14:paraId="37B06A48">
      <w:pPr>
        <w:pStyle w:val="2"/>
        <w:keepNext w:val="0"/>
        <w:keepLines w:val="0"/>
        <w:pageBreakBefore w:val="0"/>
        <w:widowControl/>
        <w:numPr>
          <w:ilvl w:val="0"/>
          <w:numId w:val="0"/>
        </w:numPr>
        <w:kinsoku/>
        <w:wordWrap/>
        <w:overflowPunct/>
        <w:topLinePunct w:val="0"/>
        <w:autoSpaceDE/>
        <w:autoSpaceDN/>
        <w:bidi w:val="0"/>
        <w:adjustRightInd/>
        <w:snapToGrid/>
        <w:spacing w:after="0" w:line="360" w:lineRule="auto"/>
        <w:ind w:leftChars="0" w:firstLine="480" w:firstLineChars="200"/>
        <w:jc w:val="both"/>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2.</w:t>
      </w:r>
      <w:r>
        <w:rPr>
          <w:rFonts w:hint="eastAsia" w:ascii="宋体" w:hAnsi="宋体" w:eastAsia="宋体" w:cs="宋体"/>
          <w:color w:val="auto"/>
          <w:sz w:val="24"/>
          <w:highlight w:val="none"/>
          <w:lang w:eastAsia="zh-CN"/>
        </w:rPr>
        <w:t>交货</w:t>
      </w:r>
      <w:r>
        <w:rPr>
          <w:rFonts w:hint="eastAsia" w:ascii="宋体" w:hAnsi="宋体" w:eastAsia="宋体" w:cs="宋体"/>
          <w:color w:val="auto"/>
          <w:sz w:val="24"/>
          <w:highlight w:val="none"/>
        </w:rPr>
        <w:t>期：</w:t>
      </w:r>
      <w:r>
        <w:rPr>
          <w:rFonts w:hint="eastAsia" w:eastAsia="宋体" w:cs="Arial"/>
          <w:snapToGrid w:val="0"/>
          <w:color w:val="000000"/>
          <w:kern w:val="0"/>
          <w:sz w:val="21"/>
          <w:szCs w:val="21"/>
          <w:highlight w:val="none"/>
          <w:lang w:val="en-US" w:eastAsia="zh-CN" w:bidi="ar-SA"/>
        </w:rPr>
        <w:t>自合同签订之日起45个日历日完成全部项目内容，并交付采购人验收合格。</w:t>
      </w:r>
    </w:p>
    <w:p w14:paraId="28FDBBF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eastAsia="zh-CN"/>
        </w:rPr>
        <w:t>交货地点：</w:t>
      </w:r>
      <w:r>
        <w:rPr>
          <w:rFonts w:hint="eastAsia" w:ascii="宋体" w:hAnsi="宋体" w:eastAsia="宋体" w:cs="宋体"/>
          <w:color w:val="auto"/>
          <w:sz w:val="24"/>
          <w:highlight w:val="none"/>
          <w:lang w:val="en-US" w:eastAsia="zh-CN"/>
        </w:rPr>
        <w:t>甲方指定地点</w:t>
      </w:r>
    </w:p>
    <w:p w14:paraId="5537715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4.质量保修范围和保修期</w:t>
      </w:r>
      <w:r>
        <w:rPr>
          <w:rFonts w:hint="eastAsia" w:ascii="宋体" w:hAnsi="宋体" w:eastAsia="宋体" w:cs="宋体"/>
          <w:color w:val="auto"/>
          <w:sz w:val="24"/>
          <w:highlight w:val="none"/>
        </w:rPr>
        <w:t>：质保期3年。</w:t>
      </w:r>
    </w:p>
    <w:p w14:paraId="7E2C96F6">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验收标准和方法</w:t>
      </w:r>
      <w:r>
        <w:rPr>
          <w:rFonts w:hint="eastAsia" w:ascii="宋体" w:hAnsi="宋体" w:eastAsia="宋体" w:cs="宋体"/>
          <w:color w:val="auto"/>
          <w:sz w:val="24"/>
          <w:highlight w:val="none"/>
          <w:lang w:eastAsia="zh-CN"/>
        </w:rPr>
        <w:t>：</w:t>
      </w:r>
    </w:p>
    <w:p w14:paraId="4AFFA00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5.1</w:t>
      </w:r>
      <w:r>
        <w:rPr>
          <w:rFonts w:hint="eastAsia" w:ascii="宋体" w:hAnsi="宋体" w:eastAsia="宋体" w:cs="宋体"/>
          <w:sz w:val="21"/>
          <w:szCs w:val="21"/>
          <w:highlight w:val="none"/>
        </w:rPr>
        <w:t>乙方提供的</w:t>
      </w:r>
      <w:r>
        <w:rPr>
          <w:rFonts w:hint="eastAsia" w:ascii="宋体" w:hAnsi="宋体" w:eastAsia="宋体" w:cs="宋体"/>
          <w:sz w:val="21"/>
          <w:szCs w:val="21"/>
          <w:highlight w:val="none"/>
          <w:lang w:eastAsia="zh-CN"/>
        </w:rPr>
        <w:t>产品</w:t>
      </w:r>
      <w:r>
        <w:rPr>
          <w:rFonts w:hint="eastAsia" w:ascii="宋体" w:hAnsi="宋体" w:eastAsia="宋体" w:cs="宋体"/>
          <w:sz w:val="21"/>
          <w:szCs w:val="21"/>
          <w:highlight w:val="none"/>
        </w:rPr>
        <w:t>及质量有国家标准的应符合国家标准，</w:t>
      </w:r>
      <w:r>
        <w:rPr>
          <w:rFonts w:hint="eastAsia" w:ascii="宋体" w:hAnsi="宋体" w:eastAsia="宋体" w:cs="宋体"/>
          <w:color w:val="auto"/>
          <w:sz w:val="24"/>
          <w:highlight w:val="none"/>
        </w:rPr>
        <w:t>无国家标准的应符合行业标准或企业标准，并满足需方要求；</w:t>
      </w:r>
    </w:p>
    <w:p w14:paraId="2324528B">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5.2</w:t>
      </w:r>
      <w:r>
        <w:rPr>
          <w:rFonts w:hint="eastAsia" w:ascii="宋体" w:hAnsi="宋体" w:eastAsia="宋体" w:cs="宋体"/>
          <w:color w:val="auto"/>
          <w:sz w:val="24"/>
          <w:highlight w:val="none"/>
        </w:rPr>
        <w:t>验收:当场验收，乙方需提供合格证、发票等有效质量证明材料。如发现</w:t>
      </w:r>
      <w:r>
        <w:rPr>
          <w:rFonts w:hint="eastAsia" w:ascii="宋体" w:hAnsi="宋体" w:eastAsia="宋体" w:cs="宋体"/>
          <w:color w:val="auto"/>
          <w:sz w:val="24"/>
          <w:highlight w:val="none"/>
          <w:lang w:eastAsia="zh-CN"/>
        </w:rPr>
        <w:t>产品</w:t>
      </w:r>
      <w:r>
        <w:rPr>
          <w:rFonts w:hint="eastAsia" w:ascii="宋体" w:hAnsi="宋体" w:eastAsia="宋体" w:cs="宋体"/>
          <w:color w:val="auto"/>
          <w:sz w:val="24"/>
          <w:highlight w:val="none"/>
        </w:rPr>
        <w:t>的规格,数量,质量有任何问题，乙方需无条件更换，并承担一切责任。</w:t>
      </w:r>
    </w:p>
    <w:p w14:paraId="0B21D585">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5.3</w:t>
      </w:r>
      <w:r>
        <w:rPr>
          <w:rFonts w:hint="eastAsia" w:ascii="宋体" w:hAnsi="宋体" w:eastAsia="宋体" w:cs="宋体"/>
          <w:color w:val="auto"/>
          <w:sz w:val="24"/>
          <w:highlight w:val="none"/>
        </w:rPr>
        <w:t>乙方向甲方提供项目履约过程中的所有资料,以便甲方日后管理和维护。</w:t>
      </w:r>
    </w:p>
    <w:p w14:paraId="378C649F">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3.1验收依据 </w:t>
      </w:r>
    </w:p>
    <w:p w14:paraId="0DB8FC4A">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3.2</w:t>
      </w:r>
      <w:r>
        <w:rPr>
          <w:rFonts w:hint="eastAsia" w:ascii="宋体" w:hAnsi="宋体" w:eastAsia="宋体" w:cs="宋体"/>
          <w:color w:val="auto"/>
          <w:sz w:val="24"/>
          <w:highlight w:val="none"/>
          <w:lang w:eastAsia="zh-CN"/>
        </w:rPr>
        <w:t>磋商</w:t>
      </w:r>
      <w:r>
        <w:rPr>
          <w:rFonts w:hint="eastAsia" w:ascii="宋体" w:hAnsi="宋体" w:eastAsia="宋体" w:cs="宋体"/>
          <w:color w:val="auto"/>
          <w:sz w:val="24"/>
          <w:highlight w:val="none"/>
        </w:rPr>
        <w:t>文件、</w:t>
      </w:r>
      <w:r>
        <w:rPr>
          <w:rFonts w:hint="eastAsia" w:ascii="宋体" w:hAnsi="宋体" w:eastAsia="宋体" w:cs="宋体"/>
          <w:color w:val="auto"/>
          <w:sz w:val="24"/>
          <w:highlight w:val="none"/>
          <w:lang w:eastAsia="zh-CN"/>
        </w:rPr>
        <w:t>响应</w:t>
      </w:r>
      <w:r>
        <w:rPr>
          <w:rFonts w:hint="eastAsia" w:ascii="宋体" w:hAnsi="宋体" w:eastAsia="宋体" w:cs="宋体"/>
          <w:color w:val="auto"/>
          <w:sz w:val="24"/>
          <w:highlight w:val="none"/>
        </w:rPr>
        <w:t xml:space="preserve">文件、澄清答疑资料（如有）； </w:t>
      </w:r>
    </w:p>
    <w:p w14:paraId="6956E79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 xml:space="preserve">3.3本合同及附件文本； </w:t>
      </w:r>
    </w:p>
    <w:p w14:paraId="1022DBF5">
      <w:pPr>
        <w:keepNext w:val="0"/>
        <w:keepLines w:val="0"/>
        <w:pageBreakBefore w:val="0"/>
        <w:kinsoku/>
        <w:wordWrap/>
        <w:topLinePunct w:val="0"/>
        <w:bidi w:val="0"/>
        <w:snapToGrid/>
        <w:spacing w:line="348" w:lineRule="auto"/>
        <w:ind w:firstLine="480" w:firstLineChars="200"/>
        <w:jc w:val="left"/>
        <w:textAlignment w:val="auto"/>
        <w:rPr>
          <w:rFonts w:hint="eastAsia" w:eastAsia="宋体"/>
          <w:highlight w:val="none"/>
          <w:lang w:val="en-US" w:eastAsia="zh-CN"/>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3.4国家相应的标准、规范。</w:t>
      </w:r>
    </w:p>
    <w:p w14:paraId="7C654607">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w:t>
      </w:r>
      <w:r>
        <w:rPr>
          <w:rFonts w:hint="eastAsia" w:ascii="宋体" w:hAnsi="宋体" w:eastAsia="宋体" w:cs="宋体"/>
          <w:b/>
          <w:bCs/>
          <w:color w:val="auto"/>
          <w:sz w:val="24"/>
          <w:highlight w:val="none"/>
        </w:rPr>
        <w:t>合同价款及付款比例</w:t>
      </w:r>
    </w:p>
    <w:p w14:paraId="72E68887">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rPr>
        <w:t>1.合同价款：</w:t>
      </w:r>
      <w:r>
        <w:rPr>
          <w:rFonts w:hint="eastAsia" w:ascii="宋体" w:hAnsi="宋体" w:eastAsia="宋体" w:cs="宋体"/>
          <w:color w:val="auto"/>
          <w:sz w:val="24"/>
          <w:highlight w:val="none"/>
        </w:rPr>
        <w:t>合同为固定</w:t>
      </w:r>
      <w:r>
        <w:rPr>
          <w:rFonts w:hint="eastAsia" w:ascii="宋体" w:hAnsi="宋体" w:eastAsia="宋体" w:cs="宋体"/>
          <w:color w:val="auto"/>
          <w:sz w:val="24"/>
          <w:highlight w:val="none"/>
          <w:lang w:eastAsia="zh-CN"/>
        </w:rPr>
        <w:t>总</w:t>
      </w:r>
      <w:r>
        <w:rPr>
          <w:rFonts w:hint="eastAsia" w:ascii="宋体" w:hAnsi="宋体" w:eastAsia="宋体" w:cs="宋体"/>
          <w:color w:val="auto"/>
          <w:sz w:val="24"/>
          <w:highlight w:val="none"/>
        </w:rPr>
        <w:t>价合同</w:t>
      </w:r>
      <w:r>
        <w:rPr>
          <w:rFonts w:hint="eastAsia" w:ascii="宋体" w:hAnsi="宋体" w:eastAsia="宋体" w:cs="宋体"/>
          <w:color w:val="auto"/>
          <w:sz w:val="24"/>
          <w:highlight w:val="none"/>
          <w:lang w:eastAsia="zh-CN"/>
        </w:rPr>
        <w:t>。</w:t>
      </w:r>
    </w:p>
    <w:p w14:paraId="2D402590">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rPr>
        <w:t>合同总价款</w:t>
      </w: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元，（小写）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112CA7D9">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color w:val="auto"/>
          <w:sz w:val="24"/>
          <w:highlight w:val="none"/>
        </w:rPr>
        <w:t>本项目计价模式为</w:t>
      </w:r>
      <w:r>
        <w:rPr>
          <w:rFonts w:hint="eastAsia" w:ascii="宋体" w:hAnsi="宋体" w:eastAsia="宋体" w:cs="宋体"/>
          <w:color w:val="auto"/>
          <w:sz w:val="24"/>
          <w:highlight w:val="none"/>
          <w:lang w:val="en-US" w:eastAsia="zh-CN"/>
        </w:rPr>
        <w:t>固定总价</w:t>
      </w:r>
      <w:r>
        <w:rPr>
          <w:rFonts w:hint="eastAsia" w:ascii="宋体" w:hAnsi="宋体" w:eastAsia="宋体" w:cs="宋体"/>
          <w:color w:val="auto"/>
          <w:sz w:val="24"/>
          <w:highlight w:val="none"/>
        </w:rPr>
        <w:t>，磋商报价包括但不限于指项目完成并经验收合格的所有费用，包括项目费用、国家按现行税收政策征收的一切税费等</w:t>
      </w:r>
      <w:r>
        <w:rPr>
          <w:rFonts w:hint="eastAsia" w:ascii="宋体" w:hAnsi="宋体" w:eastAsia="宋体" w:cs="宋体"/>
          <w:color w:val="auto"/>
          <w:sz w:val="24"/>
          <w:highlight w:val="none"/>
          <w:lang w:eastAsia="zh-CN"/>
        </w:rPr>
        <w:t>。</w:t>
      </w:r>
    </w:p>
    <w:p w14:paraId="2FB7B675">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outlineLvl w:val="9"/>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w:t>
      </w:r>
      <w:r>
        <w:rPr>
          <w:rFonts w:hint="eastAsia" w:ascii="宋体" w:hAnsi="宋体" w:eastAsia="宋体" w:cs="宋体"/>
          <w:bCs/>
          <w:color w:val="auto"/>
          <w:sz w:val="24"/>
          <w:highlight w:val="none"/>
        </w:rPr>
        <w:t>付款方式</w:t>
      </w:r>
      <w:r>
        <w:rPr>
          <w:rFonts w:hint="eastAsia" w:ascii="宋体" w:hAnsi="宋体" w:eastAsia="宋体" w:cs="宋体"/>
          <w:bCs/>
          <w:snapToGrid w:val="0"/>
          <w:color w:val="auto"/>
          <w:kern w:val="0"/>
          <w:sz w:val="24"/>
          <w:szCs w:val="21"/>
          <w:highlight w:val="none"/>
          <w:lang w:val="en-US" w:eastAsia="zh-CN" w:bidi="ar-SA"/>
        </w:rPr>
        <w:t>：</w:t>
      </w:r>
      <w:r>
        <w:rPr>
          <w:rFonts w:hint="eastAsia" w:ascii="宋体" w:hAnsi="宋体" w:eastAsia="宋体" w:cs="宋体"/>
          <w:bCs/>
          <w:color w:val="auto"/>
          <w:sz w:val="24"/>
          <w:highlight w:val="none"/>
          <w:lang w:val="en-US" w:eastAsia="zh-CN"/>
        </w:rPr>
        <w:t>货物（产品）按下列比例支付价款：合同签订生效后，所有货物（产品）供货安装完成，整体项目经验收合格后，且双方无争议，自验收合格之日起30日内甲方一次性支付所有合同款项；</w:t>
      </w:r>
    </w:p>
    <w:p w14:paraId="009AC6F0">
      <w:pPr>
        <w:keepNext w:val="0"/>
        <w:keepLines w:val="0"/>
        <w:pageBreakBefore w:val="0"/>
        <w:kinsoku/>
        <w:wordWrap/>
        <w:overflowPunct/>
        <w:topLinePunct w:val="0"/>
        <w:autoSpaceDE/>
        <w:autoSpaceDN/>
        <w:bidi w:val="0"/>
        <w:adjustRightInd/>
        <w:snapToGrid/>
        <w:spacing w:line="348" w:lineRule="auto"/>
        <w:ind w:left="0" w:leftChars="0" w:right="0" w:rightChars="0"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bCs/>
          <w:color w:val="auto"/>
          <w:sz w:val="24"/>
          <w:highlight w:val="none"/>
          <w:lang w:val="en-US" w:eastAsia="zh-CN"/>
        </w:rPr>
        <w:t>付款依据：满足付款条件的情况下，乙方应向甲方出具书面付款通知（注明开户行及账户信息）以及符合国家财税规定的增值税发票，否则甲方有权延迟履行付款义务。如因乙方缘故（如开具增值税发票延误等）导致甲方无法按时付款，甲方不承担违约责任。</w:t>
      </w:r>
    </w:p>
    <w:p w14:paraId="030F1373">
      <w:pPr>
        <w:keepNext w:val="0"/>
        <w:keepLines w:val="0"/>
        <w:pageBreakBefore w:val="0"/>
        <w:widowControl/>
        <w:tabs>
          <w:tab w:val="left" w:pos="426"/>
        </w:tabs>
        <w:kinsoku/>
        <w:wordWrap/>
        <w:overflowPunct/>
        <w:topLinePunct w:val="0"/>
        <w:autoSpaceDE/>
        <w:autoSpaceDN/>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3.乙方开户银行指定账户为：</w:t>
      </w:r>
    </w:p>
    <w:p w14:paraId="1FE7FF0D">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收款人：</w:t>
      </w:r>
    </w:p>
    <w:p w14:paraId="26614D4A">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开户行：</w:t>
      </w:r>
    </w:p>
    <w:p w14:paraId="41601D7F">
      <w:pPr>
        <w:keepNext w:val="0"/>
        <w:keepLines w:val="0"/>
        <w:pageBreakBefore w:val="0"/>
        <w:widowControl/>
        <w:tabs>
          <w:tab w:val="left" w:pos="426"/>
        </w:tabs>
        <w:kinsoku/>
        <w:wordWrap/>
        <w:topLinePunct w:val="0"/>
        <w:bidi w:val="0"/>
        <w:adjustRightInd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p w14:paraId="450139B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4.甲方付款前，乙方应向甲方开具正式等额发票，否则甲方有权延迟履行付款义务。</w:t>
      </w:r>
    </w:p>
    <w:p w14:paraId="6780E8A0">
      <w:pPr>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四、</w:t>
      </w:r>
      <w:r>
        <w:rPr>
          <w:rFonts w:hint="eastAsia" w:ascii="宋体" w:hAnsi="宋体" w:eastAsia="宋体" w:cs="宋体"/>
          <w:b/>
          <w:color w:val="auto"/>
          <w:sz w:val="24"/>
          <w:highlight w:val="none"/>
        </w:rPr>
        <w:t>乙方：</w:t>
      </w:r>
      <w:r>
        <w:rPr>
          <w:rFonts w:hint="eastAsia" w:ascii="宋体" w:hAnsi="宋体" w:eastAsia="宋体" w:cs="宋体"/>
          <w:bCs/>
          <w:color w:val="auto"/>
          <w:sz w:val="24"/>
          <w:highlight w:val="none"/>
        </w:rPr>
        <w:t>本项目拟派</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为负责人，联系电话：</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，身份证号：</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w:t>
      </w:r>
    </w:p>
    <w:p w14:paraId="4996FD78">
      <w:pPr>
        <w:pStyle w:val="3"/>
        <w:keepNext w:val="0"/>
        <w:keepLines w:val="0"/>
        <w:pageBreakBefore w:val="0"/>
        <w:kinsoku/>
        <w:wordWrap/>
        <w:topLinePunct w:val="0"/>
        <w:bidi w:val="0"/>
        <w:snapToGrid/>
        <w:spacing w:line="348" w:lineRule="auto"/>
        <w:textAlignment w:val="auto"/>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五、甲方的主要责任和权利</w:t>
      </w:r>
    </w:p>
    <w:p w14:paraId="3E6B376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甲方应</w:t>
      </w:r>
      <w:r>
        <w:rPr>
          <w:rFonts w:hint="eastAsia" w:ascii="宋体" w:hAnsi="宋体" w:eastAsia="宋体" w:cs="宋体"/>
          <w:sz w:val="24"/>
          <w:highlight w:val="none"/>
          <w:lang w:eastAsia="zh-CN"/>
        </w:rPr>
        <w:t>对</w:t>
      </w:r>
      <w:r>
        <w:rPr>
          <w:rFonts w:hint="eastAsia" w:ascii="宋体" w:hAnsi="宋体" w:eastAsia="宋体" w:cs="宋体"/>
          <w:sz w:val="24"/>
          <w:highlight w:val="none"/>
        </w:rPr>
        <w:t>乙方</w:t>
      </w:r>
      <w:r>
        <w:rPr>
          <w:rFonts w:hint="eastAsia" w:ascii="宋体" w:hAnsi="宋体" w:eastAsia="宋体" w:cs="宋体"/>
          <w:sz w:val="24"/>
          <w:highlight w:val="none"/>
          <w:lang w:eastAsia="zh-CN"/>
        </w:rPr>
        <w:t>交货</w:t>
      </w:r>
      <w:r>
        <w:rPr>
          <w:rFonts w:hint="eastAsia" w:ascii="宋体" w:hAnsi="宋体" w:eastAsia="宋体" w:cs="宋体"/>
          <w:sz w:val="24"/>
          <w:highlight w:val="none"/>
        </w:rPr>
        <w:t>情况进行考核。</w:t>
      </w:r>
    </w:p>
    <w:p w14:paraId="2C9749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eastAsia="zh-CN"/>
        </w:rPr>
        <w:t>.</w:t>
      </w:r>
      <w:r>
        <w:rPr>
          <w:rFonts w:hint="eastAsia" w:ascii="宋体" w:hAnsi="宋体" w:eastAsia="宋体" w:cs="宋体"/>
          <w:sz w:val="24"/>
          <w:highlight w:val="none"/>
        </w:rPr>
        <w:t>乙方违反甲方工作纪律，造成不良影响的,甲方可提请乙方无条件更换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人员,乙方应在8小时内作出响应,在不影响工作的前提下,5个工作日内补充人员到位；如经甲方研究认定造成严重影响的，除要求乙方无条件更换</w:t>
      </w:r>
      <w:r>
        <w:rPr>
          <w:rFonts w:hint="eastAsia" w:ascii="宋体" w:hAnsi="宋体" w:eastAsia="宋体" w:cs="宋体"/>
          <w:sz w:val="24"/>
          <w:highlight w:val="none"/>
          <w:lang w:eastAsia="zh-CN"/>
        </w:rPr>
        <w:t>项目工作</w:t>
      </w:r>
      <w:r>
        <w:rPr>
          <w:rFonts w:hint="eastAsia" w:ascii="宋体" w:hAnsi="宋体" w:eastAsia="宋体" w:cs="宋体"/>
          <w:sz w:val="24"/>
          <w:highlight w:val="none"/>
        </w:rPr>
        <w:t>人员外，乙方以本季度应付款项为基数，按每天3‰计算向甲方支付违约金。</w:t>
      </w:r>
    </w:p>
    <w:p w14:paraId="486800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4</w:t>
      </w:r>
      <w:r>
        <w:rPr>
          <w:rFonts w:hint="eastAsia" w:ascii="宋体" w:hAnsi="宋体" w:eastAsia="宋体" w:cs="宋体"/>
          <w:sz w:val="24"/>
          <w:highlight w:val="none"/>
          <w:lang w:eastAsia="zh-CN"/>
        </w:rPr>
        <w:t>.</w:t>
      </w:r>
      <w:r>
        <w:rPr>
          <w:rFonts w:hint="eastAsia" w:ascii="宋体" w:hAnsi="宋体" w:eastAsia="宋体" w:cs="宋体"/>
          <w:sz w:val="24"/>
          <w:highlight w:val="none"/>
        </w:rPr>
        <w:t>乙方在</w:t>
      </w:r>
      <w:r>
        <w:rPr>
          <w:rFonts w:hint="eastAsia" w:ascii="宋体" w:hAnsi="宋体" w:eastAsia="宋体" w:cs="宋体"/>
          <w:sz w:val="24"/>
          <w:highlight w:val="none"/>
          <w:lang w:eastAsia="zh-CN"/>
        </w:rPr>
        <w:t>响应</w:t>
      </w:r>
      <w:r>
        <w:rPr>
          <w:rFonts w:hint="eastAsia" w:ascii="宋体" w:hAnsi="宋体" w:eastAsia="宋体" w:cs="宋体"/>
          <w:sz w:val="24"/>
          <w:highlight w:val="none"/>
        </w:rPr>
        <w:t>期间出现重大失误的,甲方有权终止协议,并向乙方追索因失误造成的相关损失。</w:t>
      </w:r>
    </w:p>
    <w:p w14:paraId="0667BA5C">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5.甲方支持乙方的工作，按合同保证乙方责任和权力的统一。</w:t>
      </w:r>
    </w:p>
    <w:p w14:paraId="573D6C4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rPr>
        <w:t>6.甲方有权阐述对具体问题的意见和建议。</w:t>
      </w:r>
    </w:p>
    <w:p w14:paraId="0D303F8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.甲方有权对</w:t>
      </w:r>
      <w:r>
        <w:rPr>
          <w:rFonts w:hint="eastAsia" w:ascii="宋体" w:hAnsi="宋体" w:eastAsia="宋体" w:cs="宋体"/>
          <w:sz w:val="24"/>
          <w:highlight w:val="none"/>
          <w:lang w:eastAsia="zh-CN"/>
        </w:rPr>
        <w:t>工作质量</w:t>
      </w:r>
      <w:r>
        <w:rPr>
          <w:rFonts w:hint="eastAsia" w:ascii="宋体" w:hAnsi="宋体" w:eastAsia="宋体" w:cs="宋体"/>
          <w:sz w:val="24"/>
          <w:highlight w:val="none"/>
        </w:rPr>
        <w:t>进行评估，若评估结果不合格，甲方有权扣除不超过10%的合同金额或终止合同。</w:t>
      </w:r>
    </w:p>
    <w:p w14:paraId="251D3D4A">
      <w:pPr>
        <w:pStyle w:val="6"/>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zh-CN" w:eastAsia="zh-CN"/>
        </w:rPr>
        <w:t>六、乙方的主要责任和权利</w:t>
      </w:r>
    </w:p>
    <w:p w14:paraId="6BE26F2B">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1.根据本合同约定,乙方应按甲方需求安排工作人员,并保持工作人员的相对稳定。</w:t>
      </w:r>
    </w:p>
    <w:p w14:paraId="6AAED97D">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2.乙方应根据甲方的要求,建立并完善内部考核管理制度。</w:t>
      </w:r>
    </w:p>
    <w:p w14:paraId="05E8C5E7">
      <w:pPr>
        <w:pStyle w:val="6"/>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en-US" w:eastAsia="zh-CN"/>
        </w:rPr>
      </w:pPr>
      <w:r>
        <w:rPr>
          <w:rFonts w:hint="eastAsia" w:ascii="宋体" w:hAnsi="宋体" w:eastAsia="宋体" w:cs="宋体"/>
          <w:b/>
          <w:color w:val="auto"/>
          <w:highlight w:val="none"/>
          <w:lang w:val="en-US" w:eastAsia="zh-CN"/>
        </w:rPr>
        <w:t>七、</w:t>
      </w:r>
      <w:r>
        <w:rPr>
          <w:rFonts w:hint="eastAsia" w:ascii="宋体" w:hAnsi="宋体" w:eastAsia="宋体" w:cs="宋体"/>
          <w:b/>
          <w:color w:val="auto"/>
          <w:highlight w:val="none"/>
          <w:lang w:val="zh-CN" w:eastAsia="zh-CN"/>
        </w:rPr>
        <w:t>知识产权</w:t>
      </w:r>
    </w:p>
    <w:p w14:paraId="374B358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1.乙方在为甲方履行合同期间时所获得或形成成果的知识产权归甲方所有，未经甲方许可，乙方不得以任何方式使用，亦不得出于任何目的向第三方披露或许可第三方使用。主要以该项目形成的成果参加各类评奖，应经甲方书面同意，与甲方共同申报。</w:t>
      </w:r>
    </w:p>
    <w:p w14:paraId="258DB49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2.若乙方在为甲方履行合同期间时侵犯了第三人的权利，致使甲方受到索赔或起诉，由此给甲方造成的一切损失由乙方承担，同时甲方有权解除合同，同时乙方及时消除不良影响。</w:t>
      </w:r>
    </w:p>
    <w:p w14:paraId="120D1BE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3.若未经甲方许可，乙方擅自使用或向第三方披露或许可第三方使用在为甲方提供履行合同期间所获得的成果，甲方有权要求乙方或第三方停止侵权，并承担以此带来的所有损失，同时消除不良影响。</w:t>
      </w:r>
    </w:p>
    <w:p w14:paraId="7793E6E4">
      <w:pPr>
        <w:pStyle w:val="6"/>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color w:val="auto"/>
          <w:highlight w:val="none"/>
          <w:lang w:val="en-US" w:eastAsia="zh-CN"/>
        </w:rPr>
        <w:t>八、</w:t>
      </w:r>
      <w:r>
        <w:rPr>
          <w:rFonts w:hint="eastAsia" w:ascii="宋体" w:hAnsi="宋体" w:eastAsia="宋体" w:cs="宋体"/>
          <w:b/>
          <w:bCs/>
          <w:color w:val="auto"/>
          <w:kern w:val="2"/>
          <w:sz w:val="24"/>
          <w:szCs w:val="24"/>
          <w:highlight w:val="none"/>
          <w:lang w:val="en-US" w:eastAsia="zh-CN" w:bidi="ar-SA"/>
        </w:rPr>
        <w:t>验收</w:t>
      </w:r>
    </w:p>
    <w:p w14:paraId="533351D6">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Hans"/>
        </w:rPr>
        <w:t>1.</w:t>
      </w:r>
      <w:r>
        <w:rPr>
          <w:rFonts w:hint="eastAsia" w:ascii="宋体" w:hAnsi="宋体" w:eastAsia="宋体" w:cs="宋体"/>
          <w:sz w:val="24"/>
          <w:highlight w:val="none"/>
          <w:lang w:val="en-US" w:eastAsia="zh-CN"/>
        </w:rPr>
        <w:t>乙方提供的产品及质量有国家标准的应符合国家标准，无国家标准的应符合行业标准或企业标准，并满足需方要求；</w:t>
      </w:r>
    </w:p>
    <w:p w14:paraId="2F19E66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2.验收:当场验收，乙方需提供合格证、发票等有效质量证明材料。如发现产品的规格,数量,质量有任何问题，乙方需无条件更换，并承担一切责任。</w:t>
      </w:r>
    </w:p>
    <w:p w14:paraId="259BAFB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3.乙方向甲方提供项目履约过程中的所有资料,以便甲方日后管理和维护。</w:t>
      </w:r>
    </w:p>
    <w:p w14:paraId="475EF207">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3.1验收依据 </w:t>
      </w:r>
    </w:p>
    <w:p w14:paraId="0222CA4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3.2磋商文件、响应文件、澄清答疑资料（如有）； </w:t>
      </w:r>
    </w:p>
    <w:p w14:paraId="1B38FCF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3.3本合同及附件文本； </w:t>
      </w:r>
    </w:p>
    <w:p w14:paraId="02B849E5">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3.4国家相应的标准、规范。</w:t>
      </w:r>
    </w:p>
    <w:p w14:paraId="058CE06E">
      <w:pPr>
        <w:pStyle w:val="6"/>
        <w:keepNext w:val="0"/>
        <w:keepLines w:val="0"/>
        <w:pageBreakBefore w:val="0"/>
        <w:tabs>
          <w:tab w:val="left" w:pos="1134"/>
          <w:tab w:val="left" w:pos="1418"/>
        </w:tabs>
        <w:kinsoku/>
        <w:wordWrap/>
        <w:topLinePunct w:val="0"/>
        <w:bidi w:val="0"/>
        <w:adjustRightInd w:val="0"/>
        <w:snapToGrid/>
        <w:spacing w:line="348" w:lineRule="auto"/>
        <w:ind w:left="0" w:leftChars="0" w:firstLine="0" w:firstLineChars="0"/>
        <w:textAlignment w:val="auto"/>
        <w:rPr>
          <w:rFonts w:hint="eastAsia" w:ascii="宋体" w:hAnsi="宋体" w:eastAsia="宋体" w:cs="宋体"/>
          <w:b/>
          <w:color w:val="auto"/>
          <w:highlight w:val="none"/>
          <w:lang w:val="zh-CN" w:eastAsia="zh-CN"/>
        </w:rPr>
      </w:pPr>
      <w:r>
        <w:rPr>
          <w:rFonts w:hint="eastAsia" w:ascii="宋体" w:hAnsi="宋体" w:eastAsia="宋体" w:cs="宋体"/>
          <w:b/>
          <w:color w:val="auto"/>
          <w:highlight w:val="none"/>
          <w:lang w:val="en-US" w:eastAsia="zh-CN"/>
        </w:rPr>
        <w:t>九</w:t>
      </w:r>
      <w:r>
        <w:rPr>
          <w:rFonts w:hint="eastAsia" w:ascii="宋体" w:hAnsi="宋体" w:eastAsia="宋体" w:cs="宋体"/>
          <w:b/>
          <w:color w:val="auto"/>
          <w:highlight w:val="none"/>
          <w:lang w:val="zh-CN" w:eastAsia="zh-CN"/>
        </w:rPr>
        <w:t>、保密</w:t>
      </w:r>
    </w:p>
    <w:p w14:paraId="070523A3">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1.在本合同的履行期内，乙方获得与本项目相关的信息（包括获得的资料及成果等），应当采取适当有效的方式保护，不得未经授权使用、传播或公开。</w:t>
      </w:r>
    </w:p>
    <w:p w14:paraId="011BA869">
      <w:pPr>
        <w:keepNext w:val="0"/>
        <w:keepLines w:val="0"/>
        <w:pageBreakBefore w:val="0"/>
        <w:kinsoku/>
        <w:wordWrap/>
        <w:topLinePunct w:val="0"/>
        <w:bidi w:val="0"/>
        <w:snapToGrid/>
        <w:spacing w:line="348"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2.乙方在项目实施过程中接触或产生涉密数据的，应严格按《中华人民共和国保守国家秘密法》以及其他相关法律法规和制度执行。如由于乙方的原因而导致泄密的，乙方应承担相应法律责任。</w:t>
      </w:r>
    </w:p>
    <w:p w14:paraId="0E13FDF2">
      <w:pPr>
        <w:pStyle w:val="7"/>
        <w:keepNext w:val="0"/>
        <w:keepLines w:val="0"/>
        <w:pageBreakBefore w:val="0"/>
        <w:kinsoku/>
        <w:wordWrap/>
        <w:topLinePunct w:val="0"/>
        <w:bidi w:val="0"/>
        <w:snapToGrid/>
        <w:spacing w:line="348" w:lineRule="auto"/>
        <w:ind w:left="0" w:leftChars="0" w:firstLine="0" w:firstLineChars="0"/>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w:t>
      </w:r>
      <w:r>
        <w:rPr>
          <w:rFonts w:hint="eastAsia" w:ascii="宋体" w:hAnsi="宋体" w:eastAsia="宋体" w:cs="宋体"/>
          <w:b/>
          <w:bCs/>
          <w:color w:val="auto"/>
          <w:sz w:val="24"/>
          <w:highlight w:val="none"/>
        </w:rPr>
        <w:t>、不可抗力</w:t>
      </w:r>
    </w:p>
    <w:p w14:paraId="5FF8CE08">
      <w:pPr>
        <w:pStyle w:val="7"/>
        <w:keepNext w:val="0"/>
        <w:keepLines w:val="0"/>
        <w:pageBreakBefore w:val="0"/>
        <w:kinsoku/>
        <w:wordWrap/>
        <w:topLinePunct w:val="0"/>
        <w:bidi w:val="0"/>
        <w:snapToGrid/>
        <w:spacing w:line="348" w:lineRule="auto"/>
        <w:ind w:firstLine="480"/>
        <w:textAlignment w:val="auto"/>
        <w:rPr>
          <w:rFonts w:hint="eastAsia" w:ascii="宋体" w:hAnsi="宋体" w:eastAsia="宋体" w:cs="宋体"/>
          <w:bCs/>
          <w:color w:val="auto"/>
          <w:sz w:val="24"/>
          <w:highlight w:val="none"/>
        </w:rPr>
      </w:pPr>
      <w:r>
        <w:rPr>
          <w:rFonts w:hint="eastAsia" w:ascii="宋体" w:hAnsi="宋体" w:eastAsia="宋体" w:cs="宋体"/>
          <w:color w:val="auto"/>
          <w:sz w:val="24"/>
          <w:highlight w:val="none"/>
        </w:rPr>
        <w:t>1.如果双方任何一方由于遭受诸如战争、严重火灾、洪水、台风、地震等重大自然灾害、以及双方同意的其他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0789816F">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2.遭受不可抗力一方应在不可抗力事故发生后尽快以书面形式通知另一方；并在事故发生后</w:t>
      </w:r>
      <w:r>
        <w:rPr>
          <w:rFonts w:hint="eastAsia" w:ascii="宋体" w:hAnsi="宋体" w:eastAsia="宋体" w:cs="宋体"/>
          <w:color w:val="auto"/>
          <w:sz w:val="24"/>
          <w:highlight w:val="none"/>
          <w:u w:val="single"/>
        </w:rPr>
        <w:t>十（10）</w:t>
      </w:r>
      <w:r>
        <w:rPr>
          <w:rFonts w:hint="eastAsia" w:ascii="宋体" w:hAnsi="宋体" w:eastAsia="宋体" w:cs="宋体"/>
          <w:color w:val="auto"/>
          <w:sz w:val="24"/>
          <w:highlight w:val="none"/>
        </w:rPr>
        <w:t>个日历日内，将有关部门出具的证明文件、详细情况报告以及不可抗力对合同影响程度的说明用特快专递或挂号信的形式寄给另一方。如果不可抗力影响时间延续</w:t>
      </w:r>
      <w:r>
        <w:rPr>
          <w:rFonts w:hint="eastAsia" w:ascii="宋体" w:hAnsi="宋体" w:eastAsia="宋体" w:cs="宋体"/>
          <w:color w:val="auto"/>
          <w:sz w:val="24"/>
          <w:highlight w:val="none"/>
          <w:u w:val="single"/>
        </w:rPr>
        <w:t>二十（20）</w:t>
      </w:r>
      <w:r>
        <w:rPr>
          <w:rFonts w:hint="eastAsia" w:ascii="宋体" w:hAnsi="宋体" w:eastAsia="宋体" w:cs="宋体"/>
          <w:color w:val="auto"/>
          <w:sz w:val="24"/>
          <w:highlight w:val="none"/>
        </w:rPr>
        <w:t>个日历日以上，双方应通过友好协商在合理的时间内达成进一步履行合同或终止合同的协议。</w:t>
      </w:r>
    </w:p>
    <w:p w14:paraId="12A50534">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十一</w:t>
      </w:r>
      <w:r>
        <w:rPr>
          <w:rFonts w:hint="eastAsia" w:ascii="宋体" w:hAnsi="宋体" w:eastAsia="宋体" w:cs="宋体"/>
          <w:b/>
          <w:bCs/>
          <w:color w:val="auto"/>
          <w:sz w:val="24"/>
          <w:highlight w:val="none"/>
        </w:rPr>
        <w:t>、税费</w:t>
      </w:r>
    </w:p>
    <w:p w14:paraId="640E5F81">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1.中国政府根据现行税法对乙方征收的与本合同有关的一切税费均由乙方负担。</w:t>
      </w:r>
    </w:p>
    <w:p w14:paraId="3762091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2.在中国境外发生的与本合同执行有关的一切税费均由乙方负担。</w:t>
      </w:r>
    </w:p>
    <w:p w14:paraId="2A8A6B80">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3.中国政府依据现行税法对甲方征收的与本合同有关的一切税费均由甲方负担。</w:t>
      </w:r>
    </w:p>
    <w:p w14:paraId="4489FFA0">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二</w:t>
      </w:r>
      <w:r>
        <w:rPr>
          <w:rFonts w:hint="eastAsia" w:ascii="宋体" w:hAnsi="宋体" w:eastAsia="宋体" w:cs="宋体"/>
          <w:b/>
          <w:bCs/>
          <w:color w:val="auto"/>
          <w:sz w:val="24"/>
          <w:highlight w:val="none"/>
        </w:rPr>
        <w:t>、破产终止合同</w:t>
      </w:r>
    </w:p>
    <w:p w14:paraId="0ED1FE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当乙方破产或无供货（或提供服务）能力时，甲方可在任何时候以书面形式通知乙方单方解除合同；并且该终止合同不损害或不影响甲方已采取或将采取补救措施的权利。</w:t>
      </w:r>
    </w:p>
    <w:p w14:paraId="444A4FAC">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三</w:t>
      </w:r>
      <w:r>
        <w:rPr>
          <w:rFonts w:hint="eastAsia" w:ascii="宋体" w:hAnsi="宋体" w:eastAsia="宋体" w:cs="宋体"/>
          <w:b/>
          <w:bCs/>
          <w:color w:val="auto"/>
          <w:sz w:val="24"/>
          <w:highlight w:val="none"/>
        </w:rPr>
        <w:t>、转让</w:t>
      </w:r>
    </w:p>
    <w:p w14:paraId="58E90DA8">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未经甲方事先书面同意，乙方不得部分转让或全部转让其应履行的合同义务。乙方擅自转让自身合同义务，甲方有权单方解除合同，并要求乙方赔偿因此产生的一切损失。</w:t>
      </w:r>
    </w:p>
    <w:p w14:paraId="297A2F63">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lang w:val="zh-CN"/>
        </w:rPr>
      </w:pPr>
      <w:r>
        <w:rPr>
          <w:rFonts w:hint="eastAsia" w:ascii="宋体" w:hAnsi="宋体" w:eastAsia="宋体" w:cs="宋体"/>
          <w:b/>
          <w:bCs/>
          <w:color w:val="auto"/>
          <w:sz w:val="24"/>
          <w:highlight w:val="none"/>
          <w:lang w:val="zh-CN"/>
        </w:rPr>
        <w:t>十</w:t>
      </w:r>
      <w:r>
        <w:rPr>
          <w:rFonts w:hint="eastAsia" w:ascii="宋体" w:hAnsi="宋体" w:eastAsia="宋体" w:cs="宋体"/>
          <w:b/>
          <w:bCs/>
          <w:color w:val="auto"/>
          <w:sz w:val="24"/>
          <w:highlight w:val="none"/>
          <w:lang w:val="en-US" w:eastAsia="zh-CN"/>
        </w:rPr>
        <w:t>四</w:t>
      </w:r>
      <w:r>
        <w:rPr>
          <w:rFonts w:hint="eastAsia" w:ascii="宋体" w:hAnsi="宋体" w:eastAsia="宋体" w:cs="宋体"/>
          <w:b/>
          <w:bCs/>
          <w:color w:val="auto"/>
          <w:sz w:val="24"/>
          <w:highlight w:val="none"/>
          <w:lang w:val="zh-CN"/>
        </w:rPr>
        <w:t>、违约责任</w:t>
      </w:r>
    </w:p>
    <w:p w14:paraId="7DC146C8">
      <w:pPr>
        <w:pStyle w:val="6"/>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1.按《中华人民共和国民法典》中的相关条款执行。</w:t>
      </w:r>
    </w:p>
    <w:p w14:paraId="6AEEDA98">
      <w:pPr>
        <w:pStyle w:val="6"/>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2.未按合同或磋商文件要求提供服务，质量不能满足甲方技术要求，采购单位有权终止合同，甚至对供方违约行为进行追究。</w:t>
      </w:r>
    </w:p>
    <w:p w14:paraId="0A25B1FA">
      <w:pPr>
        <w:pStyle w:val="6"/>
        <w:keepNext w:val="0"/>
        <w:keepLines w:val="0"/>
        <w:pageBreakBefore w:val="0"/>
        <w:widowControl w:val="0"/>
        <w:tabs>
          <w:tab w:val="left" w:pos="1134"/>
          <w:tab w:val="left" w:pos="1418"/>
        </w:tabs>
        <w:kinsoku/>
        <w:wordWrap/>
        <w:topLinePunct w:val="0"/>
        <w:bidi w:val="0"/>
        <w:adjustRightInd w:val="0"/>
        <w:snapToGrid/>
        <w:spacing w:line="348" w:lineRule="auto"/>
        <w:ind w:left="0" w:firstLine="480" w:firstLineChars="200"/>
        <w:textAlignment w:val="auto"/>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3.乙方由于自身过错，延误按本合同规定的服务成果交付时间，每延误一天，应减收本合同总额的2‰作为延误违约金。</w:t>
      </w:r>
    </w:p>
    <w:p w14:paraId="450FF9D8">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五</w:t>
      </w:r>
      <w:r>
        <w:rPr>
          <w:rFonts w:hint="eastAsia" w:ascii="宋体" w:hAnsi="宋体" w:eastAsia="宋体" w:cs="宋体"/>
          <w:b/>
          <w:bCs/>
          <w:color w:val="auto"/>
          <w:sz w:val="24"/>
          <w:highlight w:val="none"/>
        </w:rPr>
        <w:t>、合同争议和解决办法</w:t>
      </w:r>
    </w:p>
    <w:p w14:paraId="70FBC7DE">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应本着友好合作、积极协商的态度，严格履行本协议，因不可预见的因素或本协议未尽事宜发生争议，由双方协商解决,协商不成时，甲、乙双方同意提交西安仲裁委员会仲裁，仲裁裁决是终局的，对双方均有约束力。</w:t>
      </w:r>
    </w:p>
    <w:p w14:paraId="2A658C4A">
      <w:pPr>
        <w:keepNext w:val="0"/>
        <w:keepLines w:val="0"/>
        <w:pageBreakBefore w:val="0"/>
        <w:kinsoku/>
        <w:wordWrap/>
        <w:topLinePunct w:val="0"/>
        <w:bidi w:val="0"/>
        <w:snapToGrid/>
        <w:spacing w:line="348" w:lineRule="auto"/>
        <w:textAlignment w:val="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十</w:t>
      </w:r>
      <w:r>
        <w:rPr>
          <w:rFonts w:hint="eastAsia" w:ascii="宋体" w:hAnsi="宋体" w:eastAsia="宋体" w:cs="宋体"/>
          <w:b/>
          <w:bCs/>
          <w:color w:val="auto"/>
          <w:sz w:val="24"/>
          <w:highlight w:val="none"/>
          <w:lang w:val="en-US" w:eastAsia="zh-CN"/>
        </w:rPr>
        <w:t>六</w:t>
      </w:r>
      <w:r>
        <w:rPr>
          <w:rFonts w:hint="eastAsia" w:ascii="宋体" w:hAnsi="宋体" w:eastAsia="宋体" w:cs="宋体"/>
          <w:b/>
          <w:bCs/>
          <w:color w:val="auto"/>
          <w:sz w:val="24"/>
          <w:highlight w:val="none"/>
        </w:rPr>
        <w:t>、其他事项</w:t>
      </w:r>
    </w:p>
    <w:p w14:paraId="02D689AA">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b w:val="0"/>
          <w:bCs w:val="0"/>
          <w:color w:val="auto"/>
          <w:kern w:val="0"/>
          <w:sz w:val="24"/>
          <w:szCs w:val="24"/>
          <w:highlight w:val="none"/>
          <w:lang w:val="en-US" w:eastAsia="zh-CN"/>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val="en-US" w:eastAsia="zh-CN"/>
        </w:rPr>
        <w:t>采购人需追加与合同标的相同的货物、工程或者服务的，在不改变合同其他条款的前提下，可以与供应商协商签订补充合同，但所有补充合同的采购金额不得超过原合同采购金额的百分之十。</w:t>
      </w:r>
    </w:p>
    <w:p w14:paraId="67860C34">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kern w:val="0"/>
          <w:sz w:val="24"/>
          <w:szCs w:val="24"/>
          <w:highlight w:val="none"/>
          <w:lang w:val="en-US" w:eastAsia="zh-CN"/>
        </w:rPr>
        <w:t>2.</w:t>
      </w:r>
      <w:r>
        <w:rPr>
          <w:rFonts w:hint="eastAsia" w:ascii="宋体" w:hAnsi="宋体" w:eastAsia="宋体" w:cs="宋体"/>
          <w:color w:val="auto"/>
          <w:sz w:val="24"/>
          <w:highlight w:val="none"/>
        </w:rPr>
        <w:t>未尽事宜，双方协商解决。在本合同履行过程中将双方达成的书面补充协议是本合同不可分割的组成部分，与本合同具有同等效力。</w:t>
      </w:r>
    </w:p>
    <w:p w14:paraId="55ED7572">
      <w:pPr>
        <w:keepNext w:val="0"/>
        <w:keepLines w:val="0"/>
        <w:pageBreakBefore w:val="0"/>
        <w:kinsoku/>
        <w:wordWrap/>
        <w:topLinePunct w:val="0"/>
        <w:bidi w:val="0"/>
        <w:snapToGrid/>
        <w:spacing w:line="348"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.本合同正本一式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份，副本一式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份，均以中文书写，在双方代表签字盖章后生效，甲方执正本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份；乙方执正本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份，副本</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rPr>
        <w:t>份；政府采购管理部门备案副本一份，均具有同等法律效力。</w:t>
      </w:r>
    </w:p>
    <w:p w14:paraId="1C9F9BB6">
      <w:pPr>
        <w:keepNext w:val="0"/>
        <w:keepLines w:val="0"/>
        <w:pageBreakBefore w:val="0"/>
        <w:kinsoku/>
        <w:wordWrap/>
        <w:topLinePunct w:val="0"/>
        <w:bidi w:val="0"/>
        <w:snapToGrid/>
        <w:spacing w:line="348" w:lineRule="auto"/>
        <w:ind w:firstLine="480" w:firstLineChars="200"/>
        <w:textAlignment w:val="auto"/>
        <w:rPr>
          <w:rFonts w:hint="eastAsia"/>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.本合同自双方签字盖章之日起生效，合同执行完毕自动失效（合同的服务承诺长期有效）。</w:t>
      </w:r>
    </w:p>
    <w:tbl>
      <w:tblPr>
        <w:tblStyle w:val="4"/>
        <w:tblW w:w="0" w:type="auto"/>
        <w:tblInd w:w="0" w:type="dxa"/>
        <w:tblLayout w:type="fixed"/>
        <w:tblCellMar>
          <w:top w:w="0" w:type="dxa"/>
          <w:left w:w="108" w:type="dxa"/>
          <w:bottom w:w="0" w:type="dxa"/>
          <w:right w:w="108" w:type="dxa"/>
        </w:tblCellMar>
      </w:tblPr>
      <w:tblGrid>
        <w:gridCol w:w="4201"/>
        <w:gridCol w:w="4202"/>
      </w:tblGrid>
      <w:tr w14:paraId="2E0D43BD">
        <w:tblPrEx>
          <w:tblCellMar>
            <w:top w:w="0" w:type="dxa"/>
            <w:left w:w="108" w:type="dxa"/>
            <w:bottom w:w="0" w:type="dxa"/>
            <w:right w:w="108" w:type="dxa"/>
          </w:tblCellMar>
        </w:tblPrEx>
        <w:trPr>
          <w:trHeight w:val="484" w:hRule="exact"/>
        </w:trPr>
        <w:tc>
          <w:tcPr>
            <w:tcW w:w="4201" w:type="dxa"/>
            <w:noWrap w:val="0"/>
            <w:vAlign w:val="center"/>
          </w:tcPr>
          <w:p w14:paraId="50404502">
            <w:pPr>
              <w:keepNext w:val="0"/>
              <w:keepLines w:val="0"/>
              <w:pageBreakBefore w:val="0"/>
              <w:widowControl w:val="0"/>
              <w:kinsoku/>
              <w:wordWrap/>
              <w:overflowPunct/>
              <w:topLinePunct w:val="0"/>
              <w:autoSpaceDE/>
              <w:autoSpaceDN/>
              <w:bidi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甲方</w:t>
            </w:r>
          </w:p>
        </w:tc>
        <w:tc>
          <w:tcPr>
            <w:tcW w:w="4202" w:type="dxa"/>
            <w:noWrap w:val="0"/>
            <w:vAlign w:val="center"/>
          </w:tcPr>
          <w:p w14:paraId="0DE04653">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乙方</w:t>
            </w:r>
          </w:p>
        </w:tc>
      </w:tr>
      <w:tr w14:paraId="663D2381">
        <w:tblPrEx>
          <w:tblCellMar>
            <w:top w:w="0" w:type="dxa"/>
            <w:left w:w="108" w:type="dxa"/>
            <w:bottom w:w="0" w:type="dxa"/>
            <w:right w:w="108" w:type="dxa"/>
          </w:tblCellMar>
        </w:tblPrEx>
        <w:trPr>
          <w:trHeight w:val="467" w:hRule="exact"/>
        </w:trPr>
        <w:tc>
          <w:tcPr>
            <w:tcW w:w="4201" w:type="dxa"/>
            <w:noWrap w:val="0"/>
            <w:vAlign w:val="center"/>
          </w:tcPr>
          <w:p w14:paraId="006D0645">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c>
          <w:tcPr>
            <w:tcW w:w="4202" w:type="dxa"/>
            <w:noWrap w:val="0"/>
            <w:vAlign w:val="center"/>
          </w:tcPr>
          <w:p w14:paraId="246B535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（盖章）</w:t>
            </w:r>
          </w:p>
        </w:tc>
      </w:tr>
      <w:tr w14:paraId="74BE70D3">
        <w:tblPrEx>
          <w:tblCellMar>
            <w:top w:w="0" w:type="dxa"/>
            <w:left w:w="108" w:type="dxa"/>
            <w:bottom w:w="0" w:type="dxa"/>
            <w:right w:w="108" w:type="dxa"/>
          </w:tblCellMar>
        </w:tblPrEx>
        <w:trPr>
          <w:trHeight w:val="501" w:hRule="exact"/>
        </w:trPr>
        <w:tc>
          <w:tcPr>
            <w:tcW w:w="4201" w:type="dxa"/>
            <w:noWrap w:val="0"/>
            <w:vAlign w:val="center"/>
          </w:tcPr>
          <w:p w14:paraId="4BD466F6">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c>
          <w:tcPr>
            <w:tcW w:w="4202" w:type="dxa"/>
            <w:noWrap w:val="0"/>
            <w:vAlign w:val="center"/>
          </w:tcPr>
          <w:p w14:paraId="0FF32D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p>
        </w:tc>
      </w:tr>
      <w:tr w14:paraId="53B078CF">
        <w:tblPrEx>
          <w:tblCellMar>
            <w:top w:w="0" w:type="dxa"/>
            <w:left w:w="108" w:type="dxa"/>
            <w:bottom w:w="0" w:type="dxa"/>
            <w:right w:w="108" w:type="dxa"/>
          </w:tblCellMar>
        </w:tblPrEx>
        <w:trPr>
          <w:trHeight w:val="450" w:hRule="exact"/>
        </w:trPr>
        <w:tc>
          <w:tcPr>
            <w:tcW w:w="4201" w:type="dxa"/>
            <w:noWrap w:val="0"/>
            <w:vAlign w:val="center"/>
          </w:tcPr>
          <w:p w14:paraId="5B57B4A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c>
          <w:tcPr>
            <w:tcW w:w="4202" w:type="dxa"/>
            <w:noWrap w:val="0"/>
            <w:vAlign w:val="center"/>
          </w:tcPr>
          <w:p w14:paraId="497DB3C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tc>
      </w:tr>
      <w:tr w14:paraId="0A63024D">
        <w:tblPrEx>
          <w:tblCellMar>
            <w:top w:w="0" w:type="dxa"/>
            <w:left w:w="108" w:type="dxa"/>
            <w:bottom w:w="0" w:type="dxa"/>
            <w:right w:w="108" w:type="dxa"/>
          </w:tblCellMar>
        </w:tblPrEx>
        <w:trPr>
          <w:trHeight w:val="533" w:hRule="exact"/>
        </w:trPr>
        <w:tc>
          <w:tcPr>
            <w:tcW w:w="4201" w:type="dxa"/>
            <w:noWrap w:val="0"/>
            <w:vAlign w:val="center"/>
          </w:tcPr>
          <w:p w14:paraId="2959B38C">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4202" w:type="dxa"/>
            <w:noWrap w:val="0"/>
            <w:vAlign w:val="center"/>
          </w:tcPr>
          <w:p w14:paraId="4961BC88">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r>
      <w:tr w14:paraId="6A602EE9">
        <w:tblPrEx>
          <w:tblCellMar>
            <w:top w:w="0" w:type="dxa"/>
            <w:left w:w="108" w:type="dxa"/>
            <w:bottom w:w="0" w:type="dxa"/>
            <w:right w:w="108" w:type="dxa"/>
          </w:tblCellMar>
        </w:tblPrEx>
        <w:trPr>
          <w:trHeight w:val="533" w:hRule="exact"/>
        </w:trPr>
        <w:tc>
          <w:tcPr>
            <w:tcW w:w="4201" w:type="dxa"/>
            <w:noWrap w:val="0"/>
            <w:vAlign w:val="center"/>
          </w:tcPr>
          <w:p w14:paraId="51299A8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4202" w:type="dxa"/>
            <w:noWrap w:val="0"/>
            <w:vAlign w:val="center"/>
          </w:tcPr>
          <w:p w14:paraId="7B8208D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r>
      <w:tr w14:paraId="56C96B9E">
        <w:tblPrEx>
          <w:tblCellMar>
            <w:top w:w="0" w:type="dxa"/>
            <w:left w:w="108" w:type="dxa"/>
            <w:bottom w:w="0" w:type="dxa"/>
            <w:right w:w="108" w:type="dxa"/>
          </w:tblCellMar>
        </w:tblPrEx>
        <w:trPr>
          <w:trHeight w:val="500" w:hRule="exact"/>
        </w:trPr>
        <w:tc>
          <w:tcPr>
            <w:tcW w:w="4201" w:type="dxa"/>
            <w:noWrap w:val="0"/>
            <w:vAlign w:val="center"/>
          </w:tcPr>
          <w:p w14:paraId="312CDCF2">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c>
          <w:tcPr>
            <w:tcW w:w="4202" w:type="dxa"/>
            <w:noWrap w:val="0"/>
            <w:vAlign w:val="center"/>
          </w:tcPr>
          <w:p w14:paraId="3437B11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电话：</w:t>
            </w:r>
          </w:p>
        </w:tc>
      </w:tr>
      <w:tr w14:paraId="17DCB544">
        <w:tblPrEx>
          <w:tblCellMar>
            <w:top w:w="0" w:type="dxa"/>
            <w:left w:w="108" w:type="dxa"/>
            <w:bottom w:w="0" w:type="dxa"/>
            <w:right w:w="108" w:type="dxa"/>
          </w:tblCellMar>
        </w:tblPrEx>
        <w:trPr>
          <w:trHeight w:val="467" w:hRule="exact"/>
        </w:trPr>
        <w:tc>
          <w:tcPr>
            <w:tcW w:w="4201" w:type="dxa"/>
            <w:noWrap w:val="0"/>
            <w:vAlign w:val="center"/>
          </w:tcPr>
          <w:p w14:paraId="1613EB09">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c>
          <w:tcPr>
            <w:tcW w:w="4202" w:type="dxa"/>
            <w:noWrap w:val="0"/>
            <w:vAlign w:val="center"/>
          </w:tcPr>
          <w:p w14:paraId="7495B88D">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传真：</w:t>
            </w:r>
          </w:p>
        </w:tc>
      </w:tr>
      <w:tr w14:paraId="1883681F">
        <w:tblPrEx>
          <w:tblCellMar>
            <w:top w:w="0" w:type="dxa"/>
            <w:left w:w="108" w:type="dxa"/>
            <w:bottom w:w="0" w:type="dxa"/>
            <w:right w:w="108" w:type="dxa"/>
          </w:tblCellMar>
        </w:tblPrEx>
        <w:trPr>
          <w:trHeight w:val="567" w:hRule="exact"/>
        </w:trPr>
        <w:tc>
          <w:tcPr>
            <w:tcW w:w="4201" w:type="dxa"/>
            <w:noWrap w:val="0"/>
            <w:vAlign w:val="center"/>
          </w:tcPr>
          <w:p w14:paraId="45C1B72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c>
          <w:tcPr>
            <w:tcW w:w="4202" w:type="dxa"/>
            <w:noWrap w:val="0"/>
            <w:vAlign w:val="center"/>
          </w:tcPr>
          <w:p w14:paraId="7C574D9F">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p>
        </w:tc>
      </w:tr>
      <w:tr w14:paraId="06DF14C7">
        <w:tblPrEx>
          <w:tblCellMar>
            <w:top w:w="0" w:type="dxa"/>
            <w:left w:w="108" w:type="dxa"/>
            <w:bottom w:w="0" w:type="dxa"/>
            <w:right w:w="108" w:type="dxa"/>
          </w:tblCellMar>
        </w:tblPrEx>
        <w:trPr>
          <w:trHeight w:val="567" w:hRule="exact"/>
        </w:trPr>
        <w:tc>
          <w:tcPr>
            <w:tcW w:w="4201" w:type="dxa"/>
            <w:noWrap w:val="0"/>
            <w:vAlign w:val="center"/>
          </w:tcPr>
          <w:p w14:paraId="606E3B81">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c>
          <w:tcPr>
            <w:tcW w:w="4202" w:type="dxa"/>
            <w:noWrap w:val="0"/>
            <w:vAlign w:val="center"/>
          </w:tcPr>
          <w:p w14:paraId="6A4E34F7">
            <w:pPr>
              <w:keepNext w:val="0"/>
              <w:keepLines w:val="0"/>
              <w:pageBreakBefore w:val="0"/>
              <w:widowControl w:val="0"/>
              <w:kinsoku/>
              <w:wordWrap/>
              <w:overflowPunct/>
              <w:topLinePunct w:val="0"/>
              <w:autoSpaceDE/>
              <w:autoSpaceDN/>
              <w:bidi w:val="0"/>
              <w:adjustRightInd w:val="0"/>
              <w:snapToGrid w:val="0"/>
              <w:spacing w:line="24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tc>
      </w:tr>
    </w:tbl>
    <w:p w14:paraId="1D4C2B9B">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A05D41"/>
    <w:rsid w:val="74A05D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styleId="6">
    <w:name w:val="List Paragraph"/>
    <w:basedOn w:val="1"/>
    <w:autoRedefine/>
    <w:qFormat/>
    <w:uiPriority w:val="0"/>
    <w:pPr>
      <w:widowControl/>
      <w:spacing w:line="240" w:lineRule="auto"/>
      <w:ind w:left="720"/>
      <w:contextualSpacing/>
      <w:jc w:val="left"/>
    </w:pPr>
    <w:rPr>
      <w:rFonts w:ascii="Calibri" w:hAnsi="Calibri"/>
      <w:kern w:val="0"/>
      <w:sz w:val="24"/>
      <w:lang w:eastAsia="en-US" w:bidi="en-US"/>
    </w:rPr>
  </w:style>
  <w:style w:type="paragraph" w:customStyle="1" w:styleId="7">
    <w:name w:val="列出段落1"/>
    <w:basedOn w:val="1"/>
    <w:autoRedefine/>
    <w:qFormat/>
    <w:uiPriority w:val="0"/>
    <w:pPr>
      <w:ind w:firstLine="420" w:firstLineChars="200"/>
    </w:pPr>
    <w:rPr>
      <w:rFonts w:ascii="Calibri" w:hAnsi="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2025-06-13T01:13:00Z</dcterms:created>
  <dc:creator>我在
丶等风</dc:creator>
  <cp:lastModifiedBy>我在
丶等风</cp:lastModifiedBy>
  <dcterms:modified xsi:type="dcterms:W3CDTF">2025-06-13T01:13:09Z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83F197FA044E48C2BBA04072A6941594_11</vt:lpwstr>
  </property>
  <property fmtid="{D5CDD505-2E9C-101B-9397-08002B2CF9AE}" pid="4" name="KSOTemplateDocerSaveRecord">
    <vt:lpwstr>eyJoZGlkIjoiZDU5ZmUxYTc5ZjVhNjc2ZjlmNjIwZDE5NzZjZGZkMmMiLCJ1c2VySWQiOiIzMjExNjMxODcifQ==</vt:lpwstr>
  </property>
</Properties>
</file>