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版本号：CGZC-2025-086、XACH2025-06220250619001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2025年全区学校教育教学设施设备采购项目第一批次(学前段类功能部室采购)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CGZC-2025-086、XACH2025-062</w:t>
      </w:r>
      <w:r>
        <w:br/>
      </w:r>
      <w:r>
        <w:br/>
      </w:r>
      <w:r>
        <w:br/>
      </w:r>
    </w:p>
    <w:p>
      <w:pPr>
        <w:pStyle w:val="null3"/>
        <w:jc w:val="center"/>
        <w:outlineLvl w:val="2"/>
      </w:pPr>
      <w:r>
        <w:rPr>
          <w:rFonts w:ascii="仿宋_GB2312" w:hAnsi="仿宋_GB2312" w:cs="仿宋_GB2312" w:eastAsia="仿宋_GB2312"/>
          <w:sz w:val="28"/>
          <w:b/>
        </w:rPr>
        <w:t>西安浐灞国际港教育局</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西安浐灞国际港教育局</w:t>
      </w:r>
      <w:r>
        <w:rPr>
          <w:rFonts w:ascii="仿宋_GB2312" w:hAnsi="仿宋_GB2312" w:cs="仿宋_GB2312" w:eastAsia="仿宋_GB2312"/>
        </w:rPr>
        <w:t>委托，拟对</w:t>
      </w:r>
      <w:r>
        <w:rPr>
          <w:rFonts w:ascii="仿宋_GB2312" w:hAnsi="仿宋_GB2312" w:cs="仿宋_GB2312" w:eastAsia="仿宋_GB2312"/>
        </w:rPr>
        <w:t>2025年全区学校教育教学设施设备采购项目第一批次(学前段类功能部室采购)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CGZC-2025-086、XACH2025-062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2025年全区学校教育教学设施设备采购项目第一批次(学前段类功能部室采购)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2025年全区学校教育教学设施设备采购项目第一批次(学前段类功能部室采购)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投标人需在项目电子化交易系统中按要求上传相应证明文件并进行电子签章。</w:t>
      </w:r>
    </w:p>
    <w:p>
      <w:pPr>
        <w:pStyle w:val="null3"/>
      </w:pPr>
      <w:r>
        <w:rPr>
          <w:rFonts w:ascii="仿宋_GB2312" w:hAnsi="仿宋_GB2312" w:cs="仿宋_GB2312" w:eastAsia="仿宋_GB2312"/>
        </w:rPr>
        <w:t>2、供应商应授权合法的人员参加投标全过程：法定代表人授权委托书（附法定代表人身份证复印件）及被授权委托人身份证复印件，并提供被授权委托人在本单位缴纳社保的证明材料（法定代表人参加投标只需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4、非联合体投标：非联合体投标声明。供应商需在项目电子化交易系统中按要求上传相应证明文件并进行电子签章。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西安浐灞国际港教育局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陕西省西安市灞桥区浐灞生态区浐灞大道1号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029-83620844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刘娜娜、单云、王文文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029-82285837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中标供应商支付代理服务费，代理服务费参照《国家计委关于印发&lt;招标代理服务收费管理暂行办法&gt;的通知》（计价格〔2002〕1980号）和发改办价格〔2003〕857号以及发改价格〔2011〕534号文中规定的标准执行，按差额定率累进法收取费用。根据差额定率累进计费方式，100万以下按1.5%收取，100万-500万按1.1%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西安浐灞国际港教育局</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西安浐灞国际港教育局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西安浐灞国际港教育局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按国家标准和规范、合同规定、投标文件条款和招标文件要求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联系人：刘娜娜</w:t>
      </w:r>
    </w:p>
    <w:p>
      <w:pPr>
        <w:pStyle w:val="null3"/>
      </w:pPr>
      <w:r>
        <w:rPr>
          <w:rFonts w:ascii="仿宋_GB2312" w:hAnsi="仿宋_GB2312" w:cs="仿宋_GB2312" w:eastAsia="仿宋_GB2312"/>
        </w:rPr>
        <w:t>联系电话：029-82285837</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2025年全区学校教育教学设施设备采购项目第一批次(学前段类功能部室采购)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1,070,000.00</w:t>
      </w:r>
    </w:p>
    <w:p>
      <w:pPr>
        <w:pStyle w:val="null3"/>
      </w:pPr>
      <w:r>
        <w:rPr>
          <w:rFonts w:ascii="仿宋_GB2312" w:hAnsi="仿宋_GB2312" w:cs="仿宋_GB2312" w:eastAsia="仿宋_GB2312"/>
        </w:rPr>
        <w:t>采购包最高限价（元）: 920,000.00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2025年全区学校教育教学设施设备采购项目第一批次(学前段类功能部室采购)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标的名称：2025年全区学校教育教学设施设备采购项目第一批次(学前段类功能部室采购)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jc w:val="left"/>
            </w:pPr>
            <w:r>
              <w:rPr>
                <w:rFonts w:ascii="仿宋_GB2312" w:hAnsi="仿宋_GB2312" w:cs="仿宋_GB2312" w:eastAsia="仿宋_GB2312"/>
                <w:sz w:val="21"/>
              </w:rPr>
              <w:t>1、项目名称：2025年全区学校教育教学设施设备采购项目第一批次(学前段类功能部室采购)</w:t>
            </w:r>
          </w:p>
          <w:p>
            <w:pPr>
              <w:pStyle w:val="null3"/>
              <w:jc w:val="left"/>
            </w:pPr>
            <w:r>
              <w:rPr>
                <w:rFonts w:ascii="仿宋_GB2312" w:hAnsi="仿宋_GB2312" w:cs="仿宋_GB2312" w:eastAsia="仿宋_GB2312"/>
                <w:sz w:val="21"/>
              </w:rPr>
              <w:t>2、采购内容：2025年全区学校教育教学设施设备采购项目第一批次(学前段类功能部室采购)，具体内容详见第八章采购内容。</w:t>
            </w:r>
          </w:p>
          <w:p>
            <w:pPr>
              <w:pStyle w:val="null3"/>
              <w:jc w:val="left"/>
            </w:pPr>
            <w:r>
              <w:rPr>
                <w:rFonts w:ascii="仿宋_GB2312" w:hAnsi="仿宋_GB2312" w:cs="仿宋_GB2312" w:eastAsia="仿宋_GB2312"/>
                <w:sz w:val="21"/>
              </w:rPr>
              <w:t>3、交货期：2025年7月31日前完成供货、安装、调试。</w:t>
            </w:r>
          </w:p>
          <w:p>
            <w:pPr>
              <w:pStyle w:val="null3"/>
              <w:jc w:val="left"/>
            </w:pPr>
            <w:r>
              <w:rPr>
                <w:rFonts w:ascii="仿宋_GB2312" w:hAnsi="仿宋_GB2312" w:cs="仿宋_GB2312" w:eastAsia="仿宋_GB2312"/>
                <w:sz w:val="21"/>
              </w:rPr>
              <w:t>4、项目实施地点：采购人指定地点。</w:t>
            </w:r>
          </w:p>
          <w:p>
            <w:pPr>
              <w:pStyle w:val="null3"/>
              <w:jc w:val="left"/>
            </w:pPr>
            <w:r>
              <w:rPr>
                <w:rFonts w:ascii="仿宋_GB2312" w:hAnsi="仿宋_GB2312" w:cs="仿宋_GB2312" w:eastAsia="仿宋_GB2312"/>
                <w:sz w:val="21"/>
              </w:rPr>
              <w:t>5、质保期：自终验合格之日起一年，采购需求中另有要求的按要求质保期执行，厂家质保期有优于的按照厂家质保期执行。</w:t>
            </w:r>
          </w:p>
          <w:p>
            <w:pPr>
              <w:pStyle w:val="null3"/>
              <w:jc w:val="left"/>
            </w:pPr>
            <w:r>
              <w:rPr>
                <w:rFonts w:ascii="仿宋_GB2312" w:hAnsi="仿宋_GB2312" w:cs="仿宋_GB2312" w:eastAsia="仿宋_GB2312"/>
                <w:sz w:val="21"/>
              </w:rPr>
              <w:t>二、采购清单：（详见第八章采购内容）</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b/>
              </w:rPr>
              <w:t>本项目核心产品为绿色仿真草皮。</w:t>
            </w:r>
          </w:p>
          <w:p>
            <w:pPr>
              <w:pStyle w:val="null3"/>
              <w:jc w:val="left"/>
            </w:pPr>
            <w:r>
              <w:rPr>
                <w:rFonts w:ascii="仿宋_GB2312" w:hAnsi="仿宋_GB2312" w:cs="仿宋_GB2312" w:eastAsia="仿宋_GB2312"/>
                <w:sz w:val="21"/>
              </w:rPr>
              <w:t>2、清单中要求提供的各项证明材料(如说明书、检测报告、认证证书等)为技术标评审因素，不作为强制性要求，详见“商务和技术标评分细则”。</w:t>
            </w:r>
          </w:p>
          <w:p>
            <w:pPr>
              <w:pStyle w:val="null3"/>
              <w:jc w:val="both"/>
            </w:pPr>
            <w:r>
              <w:rPr>
                <w:rFonts w:ascii="仿宋_GB2312" w:hAnsi="仿宋_GB2312" w:cs="仿宋_GB2312" w:eastAsia="仿宋_GB2312"/>
                <w:sz w:val="21"/>
              </w:rPr>
              <w:t>3、采购完成后，由教育主管部门负责组织中标供应商与相关学校签订合同，如相关学校非独立法人单位，则由中心校签订合同。</w:t>
            </w:r>
          </w:p>
          <w:p>
            <w:pPr>
              <w:pStyle w:val="null3"/>
              <w:jc w:val="both"/>
            </w:pPr>
            <w:r>
              <w:rPr>
                <w:rFonts w:ascii="仿宋_GB2312" w:hAnsi="仿宋_GB2312" w:cs="仿宋_GB2312" w:eastAsia="仿宋_GB2312"/>
                <w:sz w:val="21"/>
              </w:rPr>
              <w:t>4.以上所有尺寸均为参考尺寸，供应商供货时均以学校现场实际及要求为准；定制类产品必须以学校确认过的规格、颜色等为准。供货清单经各学校确认后供货。</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2025年7月31日前完成供货、安装、调试。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合同签订后15个工作日内，支付合同暂定总价的10%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货物全部进场并经采购人签收后支付合同暂定价的40%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验收合格后根据实际采购量及合同单价据实结算 ，支付至合同结算价款的100%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1、验收时间：供应商提出验收申请后，采购人应及时组织验收，采购人验收合格后应当出具验收报告。 2、验收标准： （1）应有产品合格证、产品说明书、保修证明、易损件备件、专用工具清单和其他应具有的单证。 （2）质量符合国家法律法规规定的合格标准、招标文件、投标文件的要求。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1、中标供应商应按生产厂家的保修规定和投标文件说明的服务承诺做好保修服务。 2、中标供应商从提供货物发票之日起，保证产品为全新原厂货物。在保修期内，所有服务及配件全部免费,保修期外，能更及时地为用户提供备品备件。 3、中标供应商负责所有货物的运输。确保货物安全、完整到达使用地点，运杂费用包含在总价内，包括货物从供货地点到使用地点的仓储费、运输费、装卸费、保险费等。 4、所有货物在运输、搬运、安装、拆除、改造的过程中，造成采购人损失的，由中标供应商为采购人修复或更新。</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自终验合格之日起一年，采购需求中另有要求的按要求质保期执行，厂家质保期有优于的按照厂家质保期执行。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1、采购人违反合同规定拒绝签收的，应当承担由此对中标供应商造成的损失。 2、中标供应商不能按期交货的，每逾期1日，中标供应商应向采购人赔付合同暂定总价的1%作为违约金，中标供应商超过7日不能交货的，采购人有权从其他渠道获取，由此产生的费用由供应商承担。 3、中标供应商所交货物超过3次不符合采购人验收要求或超过15日不能交货的，采购人有权解除采购合同，中标供应商需按合同暂定总价的30%向采购人支付违约金，并承担由此产生的费用和一切责任。 解决争议的方法： 双方本着友好合作的态度,对合同履行过程中发生的纠纷应及时协商解决，协商不成的，向采购人所在地有管辖权的人民法院诉讼解决。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投标报价为完成本项目招标文件中所提出的工作范围及要求的全部内容，并达到国家及采购人验收标准而产生的所有费用，合同价款包括但不限于货物价款(含通常配备的备品备件、易损件）、人工费、包装费、仓储费、运输费、装卸费、保险费、安装费、调试费、培训费、售后服务、验收费、招标代理服务费、利润、风险、税金等在项目实施过程中所发生的所有费用，任何错报、漏报由乙方自行负责。 3.5.2中标人领取中标通知书时须向代理机构提交纸质版投标文件：正本壹份、副本贰份、电子版（U盘）贰份。 3.5.3. 支付方式（条款3.4.4）以合同约定的付款方式为准。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并提供被授权委托人在本单位缴纳社保的证明材料（法定代表人参加投标只需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评标委员会认为供应商的报价明显低于其他通过符合性审查供应商的报价，有可能影响产品质量或者不能诚信履约的，评标委员会应当要求其在合理的时间内在项目电子化交易系统中上传说明材料，必要时提交相关证明材料。供应商提交的相关证明材料，应当加盖供应商（法定名称）电子印章，在评标委员会要求的时间内通过项目电子化交易系统进行提交，否则提交的相关证明材料无效。供应商不能证明其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w:t>
            </w:r>
          </w:p>
        </w:tc>
        <w:tc>
          <w:tcPr>
            <w:tcW w:type="dxa" w:w="3322"/>
          </w:tcPr>
          <w:p>
            <w:pPr>
              <w:pStyle w:val="null3"/>
            </w:pPr>
            <w:r>
              <w:rPr>
                <w:rFonts w:ascii="仿宋_GB2312" w:hAnsi="仿宋_GB2312" w:cs="仿宋_GB2312" w:eastAsia="仿宋_GB2312"/>
              </w:rPr>
              <w:t>投标文件按照规定格式签字、盖章</w:t>
            </w:r>
          </w:p>
        </w:tc>
        <w:tc>
          <w:tcPr>
            <w:tcW w:type="dxa" w:w="1661"/>
          </w:tcPr>
          <w:p>
            <w:pPr>
              <w:pStyle w:val="null3"/>
            </w:pPr>
            <w:r>
              <w:rPr>
                <w:rFonts w:ascii="仿宋_GB2312" w:hAnsi="仿宋_GB2312" w:cs="仿宋_GB2312" w:eastAsia="仿宋_GB2312"/>
              </w:rPr>
              <w:t>开标一览表 中小企业声明函 商务应答表 承诺书.docx 资格证明文件.docx 报价一览表及分项报价表.docx 产品技术参数表 投标函 业绩证明文件及投标方案说明.docx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投标有效期达到招标文件的要求；</w:t>
            </w:r>
          </w:p>
        </w:tc>
        <w:tc>
          <w:tcPr>
            <w:tcW w:type="dxa" w:w="1661"/>
          </w:tcPr>
          <w:p>
            <w:pPr>
              <w:pStyle w:val="null3"/>
            </w:pPr>
            <w:r>
              <w:rPr>
                <w:rFonts w:ascii="仿宋_GB2312" w:hAnsi="仿宋_GB2312" w:cs="仿宋_GB2312" w:eastAsia="仿宋_GB2312"/>
              </w:rPr>
              <w:t>开标一览表 报价一览表及分项报价表.docx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供应商针对同一货物及服务未递交两份或多份内容不同的投标文件，未出现选择性报价；</w:t>
            </w:r>
          </w:p>
        </w:tc>
        <w:tc>
          <w:tcPr>
            <w:tcW w:type="dxa" w:w="1661"/>
          </w:tcPr>
          <w:p>
            <w:pPr>
              <w:pStyle w:val="null3"/>
            </w:pPr>
            <w:r>
              <w:rPr>
                <w:rFonts w:ascii="仿宋_GB2312" w:hAnsi="仿宋_GB2312" w:cs="仿宋_GB2312" w:eastAsia="仿宋_GB2312"/>
              </w:rPr>
              <w:t>开标一览表 报价一览表及分项报价表.docx 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报价一览表及分项报价表.docx 产品技术参数表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投标文件未附有采购人不能接受的条件</w:t>
            </w:r>
          </w:p>
        </w:tc>
        <w:tc>
          <w:tcPr>
            <w:tcW w:type="dxa" w:w="3322"/>
          </w:tcPr>
          <w:p>
            <w:pPr>
              <w:pStyle w:val="null3"/>
            </w:pPr>
            <w:r>
              <w:rPr>
                <w:rFonts w:ascii="仿宋_GB2312" w:hAnsi="仿宋_GB2312" w:cs="仿宋_GB2312" w:eastAsia="仿宋_GB2312"/>
              </w:rPr>
              <w:t>投标文件未附有采购人不能接受的条件；</w:t>
            </w:r>
          </w:p>
        </w:tc>
        <w:tc>
          <w:tcPr>
            <w:tcW w:type="dxa" w:w="1661"/>
          </w:tcPr>
          <w:p>
            <w:pPr>
              <w:pStyle w:val="null3"/>
            </w:pPr>
            <w:r>
              <w:rPr>
                <w:rFonts w:ascii="仿宋_GB2312" w:hAnsi="仿宋_GB2312" w:cs="仿宋_GB2312" w:eastAsia="仿宋_GB2312"/>
              </w:rPr>
              <w:t>开标一览表 中小企业声明函 商务应答表 承诺书.docx 资格证明文件.docx 报价一览表及分项报价表.docx 产品技术参数表 投标函 业绩证明文件及投标方案说明.docx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符合招标文件规定的其他实质性要求</w:t>
            </w:r>
          </w:p>
        </w:tc>
        <w:tc>
          <w:tcPr>
            <w:tcW w:type="dxa" w:w="3322"/>
          </w:tcPr>
          <w:p>
            <w:pPr>
              <w:pStyle w:val="null3"/>
            </w:pPr>
            <w:r>
              <w:rPr>
                <w:rFonts w:ascii="仿宋_GB2312" w:hAnsi="仿宋_GB2312" w:cs="仿宋_GB2312" w:eastAsia="仿宋_GB2312"/>
              </w:rPr>
              <w:t>符合招标文件规定的其他实质性要求；</w:t>
            </w:r>
          </w:p>
        </w:tc>
        <w:tc>
          <w:tcPr>
            <w:tcW w:type="dxa" w:w="1661"/>
          </w:tcPr>
          <w:p>
            <w:pPr>
              <w:pStyle w:val="null3"/>
            </w:pPr>
            <w:r>
              <w:rPr>
                <w:rFonts w:ascii="仿宋_GB2312" w:hAnsi="仿宋_GB2312" w:cs="仿宋_GB2312" w:eastAsia="仿宋_GB2312"/>
              </w:rPr>
              <w:t>开标一览表 中小企业声明函 商务应答表 承诺书.docx 资格证明文件.docx 报价一览表及分项报价表.docx 产品技术参数表 投标函 业绩证明文件及投标方案说明.docx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符合《中华人民共和国政府采购法》有关规定和招标纪律</w:t>
            </w:r>
          </w:p>
        </w:tc>
        <w:tc>
          <w:tcPr>
            <w:tcW w:type="dxa" w:w="3322"/>
          </w:tcPr>
          <w:p>
            <w:pPr>
              <w:pStyle w:val="null3"/>
            </w:pPr>
            <w:r>
              <w:rPr>
                <w:rFonts w:ascii="仿宋_GB2312" w:hAnsi="仿宋_GB2312" w:cs="仿宋_GB2312" w:eastAsia="仿宋_GB2312"/>
              </w:rPr>
              <w:t>符合《中华人民共和国政府采购法》有关规定和招标纪律。</w:t>
            </w:r>
          </w:p>
        </w:tc>
        <w:tc>
          <w:tcPr>
            <w:tcW w:type="dxa" w:w="1661"/>
          </w:tcPr>
          <w:p>
            <w:pPr>
              <w:pStyle w:val="null3"/>
            </w:pPr>
            <w:r>
              <w:rPr>
                <w:rFonts w:ascii="仿宋_GB2312" w:hAnsi="仿宋_GB2312" w:cs="仿宋_GB2312" w:eastAsia="仿宋_GB2312"/>
              </w:rPr>
              <w:t>开标一览表 中小企业声明函 商务应答表 承诺书.docx 资格证明文件.docx 报价一览表及分项报价表.docx 产品技术参数表 投标函 业绩证明文件及投标方案说明.docx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提供2022年以来类似项目业绩合同（以合同签订时间为准），每份计1分，满分5分。 （注：以上证明文件在投标文件中附业绩合同扫描件并加盖公司公章。）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所投产品选型、技术参数满足招标文件要求</w:t>
            </w:r>
          </w:p>
        </w:tc>
        <w:tc>
          <w:tcPr>
            <w:tcW w:type="dxa" w:w="2492"/>
          </w:tcPr>
          <w:p>
            <w:pPr>
              <w:pStyle w:val="null3"/>
            </w:pPr>
            <w:r>
              <w:rPr>
                <w:rFonts w:ascii="仿宋_GB2312" w:hAnsi="仿宋_GB2312" w:cs="仿宋_GB2312" w:eastAsia="仿宋_GB2312"/>
              </w:rPr>
              <w:t>所投产品选型、技术参数满足招标文件要求，性能质量好、符合相关国家标准规范，本项满分12分。未提供不计分。 1.产品描述详细、完整，设备选型合理、功能齐全，完全满足招标文件中所有技术参数要求的计10分。技术参数有低于招标文件要求的，每一项扣0.2分，扣完为止。 2.在全部满足招标技术参数的前提下，技术参数高于招标文件规定的相应技术参数的，每一项加0.5分，加分合计至2分时为止。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业绩证明文件及投标方案说明.docx</w:t>
            </w:r>
          </w:p>
          <w:p>
            <w:pPr>
              <w:pStyle w:val="null3"/>
            </w:pPr>
            <w:r>
              <w:rPr>
                <w:rFonts w:ascii="仿宋_GB2312" w:hAnsi="仿宋_GB2312" w:cs="仿宋_GB2312" w:eastAsia="仿宋_GB2312"/>
              </w:rPr>
              <w:t>报价一览表及分项报价表.docx</w:t>
            </w:r>
          </w:p>
        </w:tc>
      </w:tr>
      <w:tr>
        <w:tc>
          <w:tcPr>
            <w:tcW w:type="dxa" w:w="831"/>
            <w:vMerge/>
          </w:tcPr>
          <w:p/>
        </w:tc>
        <w:tc>
          <w:tcPr>
            <w:tcW w:type="dxa" w:w="1661"/>
          </w:tcPr>
          <w:p>
            <w:pPr>
              <w:pStyle w:val="null3"/>
            </w:pPr>
            <w:r>
              <w:rPr>
                <w:rFonts w:ascii="仿宋_GB2312" w:hAnsi="仿宋_GB2312" w:cs="仿宋_GB2312" w:eastAsia="仿宋_GB2312"/>
              </w:rPr>
              <w:t>产品相关资料：投标产品附有详细的产品技术资料</w:t>
            </w:r>
          </w:p>
        </w:tc>
        <w:tc>
          <w:tcPr>
            <w:tcW w:type="dxa" w:w="2492"/>
          </w:tcPr>
          <w:p>
            <w:pPr>
              <w:pStyle w:val="null3"/>
            </w:pPr>
            <w:r>
              <w:rPr>
                <w:rFonts w:ascii="仿宋_GB2312" w:hAnsi="仿宋_GB2312" w:cs="仿宋_GB2312" w:eastAsia="仿宋_GB2312"/>
              </w:rPr>
              <w:t>产品相关资料：投标产品附有详细的产品技术资料（包括但不限于认证证书或产品宣传彩页或检测报告或功能截图等），本项满分6分。未提供不计分。 1.所投产品规格指标、功能较好，技术资料齐全计（3～6]分。 2.所投产品规格指标、功能内容简单，技术资料相对齐全计（0～3]分。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项目实施方案，包括供货安排，仓储、运输及派送、安装、调试、系统升级等，具有全面性、可行性、针对性，方案明确，布局规范。本项满分8分。未提供不计分。 1.实施方案完整全面、明确可行、有针对性、细节考虑到位计（5～8]分。 2.方案内容较为完整，可实施性较强，比较有针对性计（2～5]分。 3.方案内容缺失，可实施性低，不具备针对性计（0～2]分。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确保进度的技术组织措施</w:t>
            </w:r>
          </w:p>
        </w:tc>
        <w:tc>
          <w:tcPr>
            <w:tcW w:type="dxa" w:w="2492"/>
          </w:tcPr>
          <w:p>
            <w:pPr>
              <w:pStyle w:val="null3"/>
            </w:pPr>
            <w:r>
              <w:rPr>
                <w:rFonts w:ascii="仿宋_GB2312" w:hAnsi="仿宋_GB2312" w:cs="仿宋_GB2312" w:eastAsia="仿宋_GB2312"/>
              </w:rPr>
              <w:t>确保进度的技术组织措施,措施能够保障采购人供货期的要求，根据响应程度计（0～5]分。本项满分5分。未提供不计分。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投入项目组成人员安排</w:t>
            </w:r>
          </w:p>
        </w:tc>
        <w:tc>
          <w:tcPr>
            <w:tcW w:type="dxa" w:w="2492"/>
          </w:tcPr>
          <w:p>
            <w:pPr>
              <w:pStyle w:val="null3"/>
            </w:pPr>
            <w:r>
              <w:rPr>
                <w:rFonts w:ascii="仿宋_GB2312" w:hAnsi="仿宋_GB2312" w:cs="仿宋_GB2312" w:eastAsia="仿宋_GB2312"/>
              </w:rPr>
              <w:t>根据投入项目组成人员安排，项目组织机构健全，人员经验丰富、配备合理，根据响应程度计（0～5]分。本项满分5分。未提供不计分。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确保质量的技术组织措施，包括质量保障方案及货物合法来源证明文件（包括但不限于产品的合法来源渠道、授权书、产品合格证等）。本项满分8分。未提供不计分。 1.货源渠道正规，具备相关质量证明文件，质量保障措施完整、详尽，根据响应程度计（5～8]分。 2.产品质量保障描述较完整，货物证明文件缺少，措施较完整计（2～5]分。 3.产品质量保障描述含糊，货物证明文件缺失，措施简单不够完备计（0～2]分。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业绩证明文件及投标方案说明.docx</w:t>
            </w:r>
          </w:p>
          <w:p>
            <w:pPr>
              <w:pStyle w:val="null3"/>
            </w:pPr>
            <w:r>
              <w:rPr>
                <w:rFonts w:ascii="仿宋_GB2312" w:hAnsi="仿宋_GB2312" w:cs="仿宋_GB2312" w:eastAsia="仿宋_GB2312"/>
              </w:rPr>
              <w:t>报价一览表及分项报价表.docx</w:t>
            </w:r>
          </w:p>
        </w:tc>
      </w:tr>
      <w:tr>
        <w:tc>
          <w:tcPr>
            <w:tcW w:type="dxa" w:w="831"/>
            <w:vMerge/>
          </w:tcPr>
          <w:p/>
        </w:tc>
        <w:tc>
          <w:tcPr>
            <w:tcW w:type="dxa" w:w="1661"/>
          </w:tcPr>
          <w:p>
            <w:pPr>
              <w:pStyle w:val="null3"/>
            </w:pPr>
            <w:r>
              <w:rPr>
                <w:rFonts w:ascii="仿宋_GB2312" w:hAnsi="仿宋_GB2312" w:cs="仿宋_GB2312" w:eastAsia="仿宋_GB2312"/>
              </w:rPr>
              <w:t>针对本项目可能出现的各类突发情况提供应急解决方案</w:t>
            </w:r>
          </w:p>
        </w:tc>
        <w:tc>
          <w:tcPr>
            <w:tcW w:type="dxa" w:w="2492"/>
          </w:tcPr>
          <w:p>
            <w:pPr>
              <w:pStyle w:val="null3"/>
            </w:pPr>
            <w:r>
              <w:rPr>
                <w:rFonts w:ascii="仿宋_GB2312" w:hAnsi="仿宋_GB2312" w:cs="仿宋_GB2312" w:eastAsia="仿宋_GB2312"/>
              </w:rPr>
              <w:t>针对本项目可能出现的各类突发情况提供应急解决方案，根据响应程度计（0～5]分。本项满分5分。未提供不计分。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报价一览表及分项报价表.docx</w:t>
            </w:r>
          </w:p>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供应商针对本项目有详细可行的技术培训措施</w:t>
            </w:r>
          </w:p>
        </w:tc>
        <w:tc>
          <w:tcPr>
            <w:tcW w:type="dxa" w:w="2492"/>
          </w:tcPr>
          <w:p>
            <w:pPr>
              <w:pStyle w:val="null3"/>
            </w:pPr>
            <w:r>
              <w:rPr>
                <w:rFonts w:ascii="仿宋_GB2312" w:hAnsi="仿宋_GB2312" w:cs="仿宋_GB2312" w:eastAsia="仿宋_GB2312"/>
              </w:rPr>
              <w:t>供应商针对本项目有详细可行的技术培训措施：培训计划完善，内容充实，安排合理，保证使用单位能熟练操作维护和正常使用，根据响应程度计（0～5]分；本项满分5分。未提供不计分。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业绩证明文件及投标方案说明.docx</w:t>
            </w:r>
          </w:p>
          <w:p>
            <w:pPr>
              <w:pStyle w:val="null3"/>
            </w:pPr>
            <w:r>
              <w:rPr>
                <w:rFonts w:ascii="仿宋_GB2312" w:hAnsi="仿宋_GB2312" w:cs="仿宋_GB2312" w:eastAsia="仿宋_GB2312"/>
              </w:rPr>
              <w:t>报价一览表及分项报价表.docx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具有完善的售后服务保障体系，对交货期内人员到位情况、质保期的长短及质保期内的响应时间以及备品、备件供应计划（方案还应当包含不能完全履行售后服务时愿意接受相关处罚的承诺）， 售后服务方案合理、及时有效与实际需求相符合，内容详细完整根据响应程度计(7～10]分，方案较为合理，内容较为详细完整根据响应程度计(4～7]分，内容片面含糊、不完整，根据响应程度计[0～4]分:本项满分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报价一览表及分项报价表.docx</w:t>
            </w:r>
          </w:p>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提供产品为节能产品或环境标志产品，并提供相关材料的，每提供一项得0.5分，本项最高得1分。未提供不计分。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报价一览表及分项报价表.docx</w:t>
            </w:r>
          </w:p>
          <w:p>
            <w:pPr>
              <w:pStyle w:val="null3"/>
            </w:pPr>
            <w:r>
              <w:rPr>
                <w:rFonts w:ascii="仿宋_GB2312" w:hAnsi="仿宋_GB2312" w:cs="仿宋_GB2312" w:eastAsia="仿宋_GB2312"/>
              </w:rPr>
              <w:t>业绩证明文件及投标方案说明.docx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价格分采用低价优先法计算，即满足招标文件要求且投标价格最低的投标报价为评标基准价，其价格分为满分。其他供应商的价格分统一按照下列公式计算： 投标报价得分=（评标基准价/有效报价）×价格权重（30%）×100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报价一览表及分项报价表.docx</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 2.采购标的对应的所属行业：工业。根据《工业和信息化部、国家统计局、国家发展和改革委员会、财政部关于印发中小企业划型标准规定的通知》（工信部联企业〔2011〕300号）规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详见附件：报价一览表及分项报价表.docx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详见附件：业绩证明文件及投标方案说明.docx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详见附件：第七章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