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版本号：GWZC-2024-20820250612001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漕渠路、深渡路社区党群服务中心建设项目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GWZC-2024-208</w:t>
      </w:r>
      <w:r>
        <w:br/>
      </w:r>
      <w:r>
        <w:br/>
      </w:r>
      <w:r>
        <w:br/>
      </w:r>
    </w:p>
    <w:p>
      <w:pPr>
        <w:pStyle w:val="null3"/>
        <w:jc w:val="center"/>
        <w:outlineLvl w:val="2"/>
      </w:pPr>
      <w:r>
        <w:rPr>
          <w:rFonts w:ascii="仿宋_GB2312" w:hAnsi="仿宋_GB2312" w:cs="仿宋_GB2312" w:eastAsia="仿宋_GB2312"/>
          <w:sz w:val="28"/>
          <w:b/>
        </w:rPr>
        <w:t>新合街道办事处</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新合街道办事处</w:t>
      </w:r>
      <w:r>
        <w:rPr>
          <w:rFonts w:ascii="仿宋_GB2312" w:hAnsi="仿宋_GB2312" w:cs="仿宋_GB2312" w:eastAsia="仿宋_GB2312"/>
        </w:rPr>
        <w:t>委托，拟对</w:t>
      </w:r>
      <w:r>
        <w:rPr>
          <w:rFonts w:ascii="仿宋_GB2312" w:hAnsi="仿宋_GB2312" w:cs="仿宋_GB2312" w:eastAsia="仿宋_GB2312"/>
        </w:rPr>
        <w:t>漕渠路、深渡路社区党群服务中心建设项目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GWZC-2024-208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漕渠路、深渡路社区党群服务中心建设项目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漕渠路、深渡路社区党群服务中心建设项目，总建筑面积1455m2；其中漕渠路社区建筑面积760m2，深渡路社区建筑面积695m2。</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2、资质证书：供应商具备建筑工程施工总承包三级及以上或建筑装修装饰工程专业承包二级及以上资质，同时具有合格有效的安全生产许可证；</w:t>
      </w:r>
    </w:p>
    <w:p>
      <w:pPr>
        <w:pStyle w:val="null3"/>
      </w:pPr>
      <w:r>
        <w:rPr>
          <w:rFonts w:ascii="仿宋_GB2312" w:hAnsi="仿宋_GB2312" w:cs="仿宋_GB2312" w:eastAsia="仿宋_GB2312"/>
        </w:rPr>
        <w:t>3、项目经理：拟派项目经理具备建筑工程专业二级及以上注册建造师资格且在本单位注册，具有有效的安全生产考核合格证（建安B证），且未担任其他在建工程项目的项目经理（提供无在建承诺书）；</w:t>
      </w:r>
    </w:p>
    <w:p>
      <w:pPr>
        <w:pStyle w:val="null3"/>
      </w:pPr>
      <w:r>
        <w:rPr>
          <w:rFonts w:ascii="仿宋_GB2312" w:hAnsi="仿宋_GB2312" w:cs="仿宋_GB2312" w:eastAsia="仿宋_GB2312"/>
        </w:rPr>
        <w:t>4、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新合街道办事处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西安浐灞国际港新合街道24号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029-83417996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西安市雁塔区万象派4号楼2单元2501室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尚顺谱、申晶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西安国际港务区管理委员会政府采购管理股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马重霄</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029-83332439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采购包1：1,552,800.00元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国家发展和改革委员会办公厅颁发的《关于招标代理服务收费有关问题的通知》（发改办价格〔2003〕857号）的文件收费标准计取。 户名：陕西蒿天项目管理有限公司 开户行：中国建设银行股份有限公司西安锦园新世纪支行 账号：61050175390000000337 联系电话：029-81612268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新合街道办事处</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新合街道办事处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新合街道办事处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一、达到国家及行业现行技术规范标准，符合国家及行业验收“合格”标准。 工程具备隐蔽条件，乙方先进行自检，并在验收前48小时以书面形式通知甲方验收。验收合格，甲方代表在验收记录上签字后，乙方可继续施工。验收不合格，乙方予以整改后再交由甲方重新验收。工程具备竣工验收条件，乙方按国家工程竣工验收有关规定，向甲方提供完整竣工资料及竣工验收报告，甲方组织乙方及相关单位完成竣工验收。 二、交付竣工验收的工程，必须符合规定的工程质量标准，有完整的工程技术经济资料和经签署的工程保修书，并具备国家规定的其他竣工条件。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联系人：尚顺谱、申晶</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1,552,800.00</w:t>
      </w:r>
    </w:p>
    <w:p>
      <w:pPr>
        <w:pStyle w:val="null3"/>
      </w:pPr>
      <w:r>
        <w:rPr>
          <w:rFonts w:ascii="仿宋_GB2312" w:hAnsi="仿宋_GB2312" w:cs="仿宋_GB2312" w:eastAsia="仿宋_GB2312"/>
        </w:rPr>
        <w:t>采购包最高限价（元）: 1,360,441.10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漕渠路、深渡路社区党群服务中心建设项目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1,552,800.00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标的名称：漕渠路、深渡路社区党群服务中心建设项目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漕渠路、深渡路社区党群服务中心建设项目，总建筑面积1455m2；其中漕渠路社区建筑面积760m2，深渡路社区建筑面积695m2。</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二、工程内容和施工地点、计划工期、质量要求</w:t>
            </w:r>
          </w:p>
          <w:p>
            <w:pPr>
              <w:pStyle w:val="null3"/>
            </w:pPr>
            <w:r>
              <w:rPr>
                <w:rFonts w:ascii="仿宋_GB2312" w:hAnsi="仿宋_GB2312" w:cs="仿宋_GB2312" w:eastAsia="仿宋_GB2312"/>
              </w:rPr>
              <w:t>（一）工程内容：主要包含办公楼室内的墙面、地面、顶面装修。详见施工图设计文件及工程量清单。</w:t>
            </w:r>
          </w:p>
          <w:p>
            <w:pPr>
              <w:pStyle w:val="null3"/>
            </w:pPr>
            <w:r>
              <w:rPr>
                <w:rFonts w:ascii="仿宋_GB2312" w:hAnsi="仿宋_GB2312" w:cs="仿宋_GB2312" w:eastAsia="仿宋_GB2312"/>
              </w:rPr>
              <w:t>（二）工程地点：采购人指定地点；</w:t>
            </w:r>
          </w:p>
          <w:p>
            <w:pPr>
              <w:pStyle w:val="null3"/>
            </w:pPr>
            <w:r>
              <w:rPr>
                <w:rFonts w:ascii="仿宋_GB2312" w:hAnsi="仿宋_GB2312" w:cs="仿宋_GB2312" w:eastAsia="仿宋_GB2312"/>
              </w:rPr>
              <w:t>（三）计划工期：自合同签订之日起80日历日；</w:t>
            </w:r>
          </w:p>
          <w:p>
            <w:pPr>
              <w:pStyle w:val="null3"/>
            </w:pPr>
            <w:r>
              <w:rPr>
                <w:rFonts w:ascii="仿宋_GB2312" w:hAnsi="仿宋_GB2312" w:cs="仿宋_GB2312" w:eastAsia="仿宋_GB2312"/>
              </w:rPr>
              <w:t>（四）质量要求：达到国家及行业现行技术规范标准，符合国家及行业验收“合格”标准。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三、工程量清单编制说明</w:t>
            </w:r>
          </w:p>
          <w:p>
            <w:pPr>
              <w:pStyle w:val="null3"/>
            </w:pPr>
            <w:r>
              <w:rPr>
                <w:rFonts w:ascii="仿宋_GB2312" w:hAnsi="仿宋_GB2312" w:cs="仿宋_GB2312" w:eastAsia="仿宋_GB2312"/>
              </w:rPr>
              <w:t>（一）编制范围</w:t>
            </w:r>
          </w:p>
          <w:p>
            <w:pPr>
              <w:pStyle w:val="null3"/>
            </w:pPr>
            <w:r>
              <w:rPr>
                <w:rFonts w:ascii="仿宋_GB2312" w:hAnsi="仿宋_GB2312" w:cs="仿宋_GB2312" w:eastAsia="仿宋_GB2312"/>
              </w:rPr>
              <w:t>该项目编制范围为图纸范围内全部内容；主要内容包含装饰装修工程、电气工程、给排水工程、弱电工程、空调工程。</w:t>
            </w:r>
          </w:p>
          <w:p>
            <w:pPr>
              <w:pStyle w:val="null3"/>
            </w:pPr>
            <w:r>
              <w:rPr>
                <w:rFonts w:ascii="仿宋_GB2312" w:hAnsi="仿宋_GB2312" w:cs="仿宋_GB2312" w:eastAsia="仿宋_GB2312"/>
              </w:rPr>
              <w:t>（二）编制依据：</w:t>
            </w:r>
          </w:p>
          <w:p>
            <w:pPr>
              <w:pStyle w:val="null3"/>
            </w:pPr>
            <w:r>
              <w:rPr>
                <w:rFonts w:ascii="仿宋_GB2312" w:hAnsi="仿宋_GB2312" w:cs="仿宋_GB2312" w:eastAsia="仿宋_GB2312"/>
              </w:rPr>
              <w:t>1、依据建设方提供的《漕渠路、深渡路社区党群服务中心建设项目》施工图；</w:t>
            </w:r>
          </w:p>
          <w:p>
            <w:pPr>
              <w:pStyle w:val="null3"/>
            </w:pPr>
            <w:r>
              <w:rPr>
                <w:rFonts w:ascii="仿宋_GB2312" w:hAnsi="仿宋_GB2312" w:cs="仿宋_GB2312" w:eastAsia="仿宋_GB2312"/>
              </w:rPr>
              <w:t>2、与建设工程项目有关的标准、规范、图集、技术资料。</w:t>
            </w:r>
          </w:p>
          <w:p>
            <w:pPr>
              <w:pStyle w:val="null3"/>
            </w:pPr>
            <w:r>
              <w:rPr>
                <w:rFonts w:ascii="仿宋_GB2312" w:hAnsi="仿宋_GB2312" w:cs="仿宋_GB2312" w:eastAsia="仿宋_GB2312"/>
              </w:rPr>
              <w:t>3、《陕西省建设工程工程量清单计价规则》（2009）、《陕西省建设工程工程量清单计价费率》（2009）及其配套文件中工程量计算办法、《陕西省建筑、装饰、安装工程价目表》(2009)、《陕西省建筑、装饰、安装、园林绿化工程消耗量定额》（2004）及其他相关文件；</w:t>
            </w:r>
          </w:p>
          <w:p>
            <w:pPr>
              <w:pStyle w:val="null3"/>
            </w:pPr>
            <w:r>
              <w:rPr>
                <w:rFonts w:ascii="仿宋_GB2312" w:hAnsi="仿宋_GB2312" w:cs="仿宋_GB2312" w:eastAsia="仿宋_GB2312"/>
              </w:rPr>
              <w:t>4、建设工程扬尘污染治理专项措施费执行陕建发〔2017〕270号文《关于增加建设工程扬尘治理专项措施费及综合人工单价调整的通知》。</w:t>
            </w:r>
          </w:p>
          <w:p>
            <w:pPr>
              <w:pStyle w:val="null3"/>
            </w:pPr>
            <w:r>
              <w:rPr>
                <w:rFonts w:ascii="仿宋_GB2312" w:hAnsi="仿宋_GB2312" w:cs="仿宋_GB2312" w:eastAsia="仿宋_GB2312"/>
              </w:rPr>
              <w:t>5、税金执行陕建发[2019]45号《陕西省住房和城乡建设厅关于调整陕西省建设工程计价依据的通知》。</w:t>
            </w:r>
          </w:p>
          <w:p>
            <w:pPr>
              <w:pStyle w:val="null3"/>
            </w:pPr>
            <w:r>
              <w:rPr>
                <w:rFonts w:ascii="仿宋_GB2312" w:hAnsi="仿宋_GB2312" w:cs="仿宋_GB2312" w:eastAsia="仿宋_GB2312"/>
              </w:rPr>
              <w:t>6、陕西省住房和城乡建设厅《关于调整房屋建筑和市政基础设施工程工程量清单计价综合人工单价的通知》陕建发〔2021〕1097号。</w:t>
            </w:r>
          </w:p>
          <w:p>
            <w:pPr>
              <w:pStyle w:val="null3"/>
            </w:pPr>
            <w:r>
              <w:rPr>
                <w:rFonts w:ascii="仿宋_GB2312" w:hAnsi="仿宋_GB2312" w:cs="仿宋_GB2312" w:eastAsia="仿宋_GB2312"/>
              </w:rPr>
              <w:t>7、安全文明施工措施费执行陕建发[2019]1246号《陕西省住房和城乡建设厅关于发布我省落实建筑工人实名制管理计价依据的通知》，陕建价统发〔2019〕64号《关于执行《关于发布我省落实建筑工人实名制管理计价依据的通知》的相关说明》。</w:t>
            </w:r>
          </w:p>
          <w:p>
            <w:pPr>
              <w:pStyle w:val="null3"/>
            </w:pPr>
            <w:r>
              <w:rPr>
                <w:rFonts w:ascii="仿宋_GB2312" w:hAnsi="仿宋_GB2312" w:cs="仿宋_GB2312" w:eastAsia="仿宋_GB2312"/>
              </w:rPr>
              <w:t>8、安全生产责任保险费执行陕建发[2020]1097号《陕西省住房和城乡建设厅关于建筑施工安全生产责任保险费用计价的通知》。</w:t>
            </w:r>
          </w:p>
          <w:p>
            <w:pPr>
              <w:pStyle w:val="null3"/>
            </w:pPr>
            <w:r>
              <w:rPr>
                <w:rFonts w:ascii="仿宋_GB2312" w:hAnsi="仿宋_GB2312" w:cs="仿宋_GB2312" w:eastAsia="仿宋_GB2312"/>
              </w:rPr>
              <w:t>9、依据正常的施工组织设计及施工方法。</w:t>
            </w:r>
          </w:p>
          <w:p>
            <w:pPr>
              <w:pStyle w:val="null3"/>
            </w:pPr>
            <w:r>
              <w:rPr>
                <w:rFonts w:ascii="仿宋_GB2312" w:hAnsi="仿宋_GB2312" w:cs="仿宋_GB2312" w:eastAsia="仿宋_GB2312"/>
              </w:rPr>
              <w:t>（三）有关说明：</w:t>
            </w:r>
          </w:p>
          <w:p>
            <w:pPr>
              <w:pStyle w:val="null3"/>
            </w:pPr>
            <w:r>
              <w:rPr>
                <w:rFonts w:ascii="仿宋_GB2312" w:hAnsi="仿宋_GB2312" w:cs="仿宋_GB2312" w:eastAsia="仿宋_GB2312"/>
              </w:rPr>
              <w:t>1、本工程混凝土采用商品混凝土，砂浆采用预拌砂浆；</w:t>
            </w:r>
          </w:p>
          <w:p>
            <w:pPr>
              <w:pStyle w:val="null3"/>
            </w:pPr>
            <w:r>
              <w:rPr>
                <w:rFonts w:ascii="仿宋_GB2312" w:hAnsi="仿宋_GB2312" w:cs="仿宋_GB2312" w:eastAsia="仿宋_GB2312"/>
              </w:rPr>
              <w:t>2、本清单采用广联达计价平台GCCP6.0软件</w:t>
            </w:r>
          </w:p>
          <w:p>
            <w:pPr>
              <w:pStyle w:val="null3"/>
            </w:pPr>
            <w:r>
              <w:rPr>
                <w:rFonts w:ascii="仿宋_GB2312" w:hAnsi="仿宋_GB2312" w:cs="仿宋_GB2312" w:eastAsia="仿宋_GB2312"/>
              </w:rPr>
              <w:t>（版本6.4100.23.122）。</w:t>
            </w:r>
          </w:p>
          <w:p>
            <w:pPr>
              <w:pStyle w:val="null3"/>
            </w:pPr>
            <w:r>
              <w:rPr>
                <w:rFonts w:ascii="仿宋_GB2312" w:hAnsi="仿宋_GB2312" w:cs="仿宋_GB2312" w:eastAsia="仿宋_GB2312"/>
              </w:rPr>
              <w:t>（四）工程量清单：电子版另附。</w:t>
            </w:r>
          </w:p>
          <w:p>
            <w:pPr>
              <w:pStyle w:val="null3"/>
            </w:pPr>
            <w:r>
              <w:rPr>
                <w:rFonts w:ascii="仿宋_GB2312" w:hAnsi="仿宋_GB2312" w:cs="仿宋_GB2312" w:eastAsia="仿宋_GB2312"/>
              </w:rPr>
              <w:t>（五）图纸：电子版另附。</w:t>
            </w:r>
          </w:p>
          <w:p>
            <w:pPr>
              <w:pStyle w:val="null3"/>
            </w:pPr>
            <w:r>
              <w:rPr>
                <w:rFonts w:ascii="仿宋_GB2312" w:hAnsi="仿宋_GB2312" w:cs="仿宋_GB2312" w:eastAsia="仿宋_GB2312"/>
              </w:rPr>
              <w:t>备注：本项目需提供广联达编制的已标价工程量清单。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四、施工要求</w:t>
            </w:r>
          </w:p>
          <w:p>
            <w:pPr>
              <w:pStyle w:val="null3"/>
            </w:pPr>
            <w:r>
              <w:rPr>
                <w:rFonts w:ascii="仿宋_GB2312" w:hAnsi="仿宋_GB2312" w:cs="仿宋_GB2312" w:eastAsia="仿宋_GB2312"/>
              </w:rPr>
              <w:t>1.成交供应商必须配备足够的人员和充足的机械设备进入实施，确保按时保质保量完成任务。</w:t>
            </w:r>
          </w:p>
          <w:p>
            <w:pPr>
              <w:pStyle w:val="null3"/>
            </w:pPr>
            <w:r>
              <w:rPr>
                <w:rFonts w:ascii="仿宋_GB2312" w:hAnsi="仿宋_GB2312" w:cs="仿宋_GB2312" w:eastAsia="仿宋_GB2312"/>
              </w:rPr>
              <w:t>2.必须严密组织，文明施工，作好四周维护及安全环保措施，所需费用由成交供应商承担，施工过程必须严格遵守政府相关规定。</w:t>
            </w:r>
          </w:p>
          <w:p>
            <w:pPr>
              <w:pStyle w:val="null3"/>
            </w:pPr>
            <w:r>
              <w:rPr>
                <w:rFonts w:ascii="仿宋_GB2312" w:hAnsi="仿宋_GB2312" w:cs="仿宋_GB2312" w:eastAsia="仿宋_GB2312"/>
              </w:rPr>
              <w:t>3.严格遵守西安市关于控制扬尘污染、治污减霾的相关规定，并承担一切安全事故或违规处罚所带来的经济及法律责任。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pPr>
            <w:r>
              <w:rPr>
                <w:rFonts w:ascii="仿宋_GB2312" w:hAnsi="仿宋_GB2312" w:cs="仿宋_GB2312" w:eastAsia="仿宋_GB2312"/>
              </w:rPr>
              <w:t>承包方在垃圾外运中应严格遵守港务区关于治污减霾相关规定，服从采购人相关部门管理，严格做好治污减霾工作。</w:t>
            </w:r>
          </w:p>
          <w:p>
            <w:pPr>
              <w:pStyle w:val="null3"/>
            </w:pPr>
            <w:r>
              <w:rPr>
                <w:rFonts w:ascii="仿宋_GB2312" w:hAnsi="仿宋_GB2312" w:cs="仿宋_GB2312" w:eastAsia="仿宋_GB2312"/>
              </w:rPr>
              <w:t>5.承包方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pPr>
            <w:r>
              <w:rPr>
                <w:rFonts w:ascii="仿宋_GB2312" w:hAnsi="仿宋_GB2312" w:cs="仿宋_GB2312" w:eastAsia="仿宋_GB2312"/>
              </w:rPr>
              <w:t>6.承包方负责现场安全管理工作，并承担全部责任及由此产生的全部费用，现场人员由承包方按照相关规定办理相关保险事宜。</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付款方式：</w:t>
            </w:r>
          </w:p>
          <w:p>
            <w:pPr>
              <w:pStyle w:val="null3"/>
            </w:pPr>
            <w:r>
              <w:rPr>
                <w:rFonts w:ascii="仿宋_GB2312" w:hAnsi="仿宋_GB2312" w:cs="仿宋_GB2312" w:eastAsia="仿宋_GB2312"/>
              </w:rPr>
              <w:t>1.预付款支付条款：</w:t>
            </w:r>
          </w:p>
          <w:p>
            <w:pPr>
              <w:pStyle w:val="null3"/>
            </w:pPr>
            <w:r>
              <w:rPr>
                <w:rFonts w:ascii="仿宋_GB2312" w:hAnsi="仿宋_GB2312" w:cs="仿宋_GB2312" w:eastAsia="仿宋_GB2312"/>
              </w:rPr>
              <w:t>（1）本合同设置预付款：</w:t>
            </w:r>
          </w:p>
          <w:p>
            <w:pPr>
              <w:pStyle w:val="null3"/>
            </w:pPr>
            <w:r>
              <w:rPr>
                <w:rFonts w:ascii="仿宋_GB2312" w:hAnsi="仿宋_GB2312" w:cs="仿宋_GB2312" w:eastAsia="仿宋_GB2312"/>
              </w:rPr>
              <w:t>（2）预付款金额：合同总价款的30%；</w:t>
            </w:r>
          </w:p>
          <w:p>
            <w:pPr>
              <w:pStyle w:val="null3"/>
            </w:pPr>
            <w:r>
              <w:rPr>
                <w:rFonts w:ascii="仿宋_GB2312" w:hAnsi="仿宋_GB2312" w:cs="仿宋_GB2312" w:eastAsia="仿宋_GB2312"/>
              </w:rPr>
              <w:t>（3）预付款支付条件：合同签订后1个月内；</w:t>
            </w:r>
          </w:p>
          <w:p>
            <w:pPr>
              <w:pStyle w:val="null3"/>
            </w:pPr>
            <w:r>
              <w:rPr>
                <w:rFonts w:ascii="仿宋_GB2312" w:hAnsi="仿宋_GB2312" w:cs="仿宋_GB2312" w:eastAsia="仿宋_GB2312"/>
              </w:rPr>
              <w:t>（4）其他：本项目预付款是根据政府采购相关政策规定要求，甲方为帮助乙方解决项目前期启动资金困难，保证乙方更有条件履行合同的保障性支援性资金。乙方应保证该资金用于项目前期各项工作费用，不得挪作他用，若因此项目进展受到影响，乙方承担由此引起的所有责任。</w:t>
            </w:r>
          </w:p>
          <w:p>
            <w:pPr>
              <w:pStyle w:val="null3"/>
            </w:pPr>
            <w:r>
              <w:rPr>
                <w:rFonts w:ascii="仿宋_GB2312" w:hAnsi="仿宋_GB2312" w:cs="仿宋_GB2312" w:eastAsia="仿宋_GB2312"/>
              </w:rPr>
              <w:t>2.剩余款项支付条款：</w:t>
            </w:r>
          </w:p>
          <w:p>
            <w:pPr>
              <w:pStyle w:val="null3"/>
            </w:pPr>
            <w:r>
              <w:rPr>
                <w:rFonts w:ascii="仿宋_GB2312" w:hAnsi="仿宋_GB2312" w:cs="仿宋_GB2312" w:eastAsia="仿宋_GB2312"/>
              </w:rPr>
              <w:t>竣工并验收合格后支付至合同总价款的97%，缺陷责任期满后支付剩余价款。供应商在质保期内须提供质量保修服务。</w:t>
            </w:r>
          </w:p>
          <w:p>
            <w:pPr>
              <w:pStyle w:val="null3"/>
            </w:pPr>
            <w:r>
              <w:rPr>
                <w:rFonts w:ascii="仿宋_GB2312" w:hAnsi="仿宋_GB2312" w:cs="仿宋_GB2312" w:eastAsia="仿宋_GB2312"/>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pPr>
              <w:pStyle w:val="null3"/>
            </w:pPr>
            <w:r>
              <w:rPr>
                <w:rFonts w:ascii="仿宋_GB2312" w:hAnsi="仿宋_GB2312" w:cs="仿宋_GB2312" w:eastAsia="仿宋_GB2312"/>
              </w:rPr>
              <w:t>3.缺陷责任期：2年。</w:t>
            </w:r>
          </w:p>
          <w:p>
            <w:pPr>
              <w:pStyle w:val="null3"/>
            </w:pPr>
            <w:r>
              <w:rPr>
                <w:rFonts w:ascii="仿宋_GB2312" w:hAnsi="仿宋_GB2312" w:cs="仿宋_GB2312" w:eastAsia="仿宋_GB2312"/>
              </w:rPr>
              <w:t>4.质量保修期：2年，防水工程为5年。质量保修期自验收合格之日起计算。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 《安全生产法》《建设工程质量管理条例》《建设工程安全生产管理条例》《中华人民共和国建筑法》等执行的法律法规、技术规范，如遇调整或最新规范时，以调整后或最新规范内容为准。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在施工期间，成交供应商必须注意相关人员安全，加强安全措施，并对施工人员进行安全教育。</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1.本项目不专门面向中小企业采购。 2.本项目属性为工程。 3.本项目合同包1采购标的所属行业为：建筑业； 4.本项目是否属于信用担保试点范围：否。 5.本项目为固定总价合同。 6.被授权人参加本次磋商的，被授权人应提供在本单位的社保证明（社保证明打印时间为开标时间前三个月内）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至今已缴纳的至少一个月的纳税证明或完税证明（任意税种），依法免税的单位应提供相关证明材料；3.提供2025年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供应商具备建筑工程施工总承包三级及以上或建筑装修装饰工程专业承包二级及以上资质，同时具有合格有效的安全生产许可证；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拟派项目经理具备建筑工程专业二级及以上注册建造师资格且在本单位注册，具有有效的安全生产考核合格证（建安B证），且未担任其他在建工程项目的项目经理（提供无在建承诺书）；</w:t>
            </w:r>
          </w:p>
        </w:tc>
        <w:tc>
          <w:tcPr>
            <w:tcW w:type="dxa" w:w="1661"/>
          </w:tcPr>
          <w:p>
            <w:pPr>
              <w:pStyle w:val="null3"/>
            </w:pPr>
            <w:r>
              <w:rPr>
                <w:rFonts w:ascii="仿宋_GB2312" w:hAnsi="仿宋_GB2312" w:cs="仿宋_GB2312" w:eastAsia="仿宋_GB2312"/>
              </w:rPr>
              <w:t>项目管理机构组成表 主要人员简历表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已标价工程量清单.docx 中小企业声明函 资格证明文件.docx 强制优先采购产品承诺函 响应文件封面 项目管理机构组成表 残疾人福利性单位声明函 报价函 其它说明.docx 标的清单 响应函 主要人员简历表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已标价工程量清单.docx 中小企业声明函 资格证明文件.docx 强制优先采购产品承诺函 响应文件封面 项目管理机构组成表 残疾人福利性单位声明函 报价函 其它说明.docx 标的清单 响应函 主要人员简历表 商务条款偏离表.docx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已标价工程量清单.docx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施工组织部分1</w:t>
            </w:r>
          </w:p>
        </w:tc>
        <w:tc>
          <w:tcPr>
            <w:tcW w:type="dxa" w:w="2492"/>
          </w:tcPr>
          <w:p>
            <w:pPr>
              <w:pStyle w:val="null3"/>
            </w:pPr>
            <w:r>
              <w:rPr>
                <w:rFonts w:ascii="仿宋_GB2312" w:hAnsi="仿宋_GB2312" w:cs="仿宋_GB2312" w:eastAsia="仿宋_GB2312"/>
              </w:rPr>
              <w:t>供应商的项目经理部组成及劳动力投入配备合理，完全满足工作要求，根据响应情况7-10分； 供应商的项目经理部组成及劳动力投入配备较为合理，基本满足工作要求，根据响应情况得4-7分（含7分）； 供应商的项目经理部组成及劳动力投入配备不合理、配置较差，未能完全满足工作要求,根据响应情况得1-4分（含4分）。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施工组织部分2</w:t>
            </w:r>
          </w:p>
        </w:tc>
        <w:tc>
          <w:tcPr>
            <w:tcW w:type="dxa" w:w="2492"/>
          </w:tcPr>
          <w:p>
            <w:pPr>
              <w:pStyle w:val="null3"/>
            </w:pPr>
            <w:r>
              <w:rPr>
                <w:rFonts w:ascii="仿宋_GB2312" w:hAnsi="仿宋_GB2312" w:cs="仿宋_GB2312" w:eastAsia="仿宋_GB2312"/>
              </w:rPr>
              <w:t>提供的项目施工方案详细、合理、全面，根据响应情况得7-10分；提供的项目施工方案较详细、基本合理，根据响应情况得4-7分（含7分）； 提供的项目施工方案有缺陷或不尽合理，前后矛盾，根据响应情况得1-4分（含4分）。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施工组织部分3</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根据响应情况得7-10分；供应商的安全、文明施工措施、环境保护措施及确保治污减霾和防尘污染的技术组织措施基本合理、操作性一般，根据响应情况得4-7分（含7分）； 供应商提供的安全、文明施工措施、环境保护措施及确保治污减霾和防尘污染的技术组织措施不尽完善、操作性不强、不能完全满足工作要求，根据响应情况得1-4分（含4分）。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施工组织部分4</w:t>
            </w:r>
          </w:p>
        </w:tc>
        <w:tc>
          <w:tcPr>
            <w:tcW w:type="dxa" w:w="2492"/>
          </w:tcPr>
          <w:p>
            <w:pPr>
              <w:pStyle w:val="null3"/>
            </w:pPr>
            <w:r>
              <w:rPr>
                <w:rFonts w:ascii="仿宋_GB2312" w:hAnsi="仿宋_GB2312" w:cs="仿宋_GB2312" w:eastAsia="仿宋_GB2312"/>
              </w:rPr>
              <w:t>供应商有完善的施工质量及施工进度保证措施、明确的质量控制目标，切实可行的进度计划，能有效地保证施工质量，确保按时按量完成施工工作，根据响应情况得7-10分； 供应商的施工质量及施工进度保证措施完善、基本按时按量完成施工工作，根据响应情况得4-7分（含7分）； 供应商的施工质量及施工进度保证措施不尽完善、不能完全满足工作要求，根据响应情况得1-4分（含4分）。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施工组织部分5</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具有详细、实用、可行的突发事件处理预案措施，包括但不限于工伤事故、劳务纠纷；突发事件应急预案，详细、实用、切实可行性强得7-10分； 突发事件应急预案，较详细、较实用、可行性较强得4-7分（含7分）； 突发事件应急预案，实用性一般，可行性较弱得1-4分（含4分）。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施工组织部分6</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供应商所制定的主要材料供应计划及施工机械配备投入计划详细合理，可操作性强，机械工具配置齐全、情况良好。根据响应情况得3-5分； 供应商所制定的主要材料供应计划及施工机械配备投入计划较详细合理，可操作性一般，基本满足工作要求，根据响应情况得1-3分（含3分）。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施工组织部分7</w:t>
            </w:r>
          </w:p>
        </w:tc>
        <w:tc>
          <w:tcPr>
            <w:tcW w:type="dxa" w:w="2492"/>
          </w:tcPr>
          <w:p>
            <w:pPr>
              <w:pStyle w:val="null3"/>
            </w:pPr>
            <w:r>
              <w:rPr>
                <w:rFonts w:ascii="仿宋_GB2312" w:hAnsi="仿宋_GB2312" w:cs="仿宋_GB2312" w:eastAsia="仿宋_GB2312"/>
              </w:rPr>
              <w:t>采用新材料、新设备、新技术、新工艺，得3-5分；未提供得0分。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根据供应商提供的服务承诺（包括但不限于工期、工程质量、安全、维修方面）的情况自主赋分。描述详尽、具体、可行性强得2-4分； 描述较详尽、较具体、可行性一般得1-2分（含2分）。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类似项目业绩，每提供1份得2分，最高得6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为满分30分。3.磋商报价得分=（磋商基准价/最终磋商报价）×30的公式计算得分。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已标价工程量清单.docx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