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版本号：CGZC-2025-098（ZR20GN2025-CS-040）20250710001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西延高铁330千伏供电工程征迁项目南郑村、马寨村、呼侯村铲青覆盖及垃圾清运等工程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CGZC-2025-098（ZR20GN2025-CS-040）</w:t>
      </w:r>
      <w:r>
        <w:br/>
      </w:r>
      <w:r>
        <w:br/>
      </w:r>
      <w:r>
        <w:br/>
      </w:r>
    </w:p>
    <w:p>
      <w:pPr>
        <w:pStyle w:val="null3"/>
        <w:jc w:val="center"/>
        <w:outlineLvl w:val="2"/>
      </w:pPr>
      <w:r>
        <w:rPr>
          <w:rFonts w:ascii="仿宋_GB2312" w:hAnsi="仿宋_GB2312" w:cs="仿宋_GB2312" w:eastAsia="仿宋_GB2312"/>
          <w:sz w:val="28"/>
          <w:b/>
        </w:rPr>
        <w:t>新合街道办事处</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新合街道办事处</w:t>
      </w:r>
      <w:r>
        <w:rPr>
          <w:rFonts w:ascii="仿宋_GB2312" w:hAnsi="仿宋_GB2312" w:cs="仿宋_GB2312" w:eastAsia="仿宋_GB2312"/>
        </w:rPr>
        <w:t>委托，拟对</w:t>
      </w:r>
      <w:r>
        <w:rPr>
          <w:rFonts w:ascii="仿宋_GB2312" w:hAnsi="仿宋_GB2312" w:cs="仿宋_GB2312" w:eastAsia="仿宋_GB2312"/>
        </w:rPr>
        <w:t>西延高铁330千伏供电工程征迁项目南郑村、马寨村、呼侯村铲青覆盖及垃圾清运等工程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CGZC-2025-098（ZR20GN2025-CS-040）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西延高铁330千伏供电工程征迁项目南郑村、马寨村、呼侯村铲青覆盖及垃圾清运等工程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采购西延高铁330千伏供电工程征迁项目南郑村、马寨村、呼侯村铲青覆盖及垃圾清运等工程。主要包括垃圾清运1.6万方，围墙圈建1300米等相关工程。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采购包1（西延高铁330千伏供电工程征迁项目南郑村、马寨村、呼侯村铲青覆盖及垃圾清运等工程）：属于专门面向中小企业采购。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经理：资质和专业要求：项目经理须具备建筑工程专业二级（含）及以上注册建造师证书和有效的安全生产考核合格证（建安B证），且未担任其他在建工程项目（供应商自主承诺）；(供应商需在项目电子化交易系统中按要求上传相应证明文件并进行电子签章。)</w:t>
      </w:r>
    </w:p>
    <w:p>
      <w:pPr>
        <w:pStyle w:val="null3"/>
      </w:pPr>
      <w:r>
        <w:rPr>
          <w:rFonts w:ascii="仿宋_GB2312" w:hAnsi="仿宋_GB2312" w:cs="仿宋_GB2312" w:eastAsia="仿宋_GB2312"/>
        </w:rPr>
        <w:t>2、资格证书：供应商具备建设行政主管部门颁发的建筑工程施工总承包三级（含）及以上资质，且具有有效的安全生产许可证；供应商需在项目电子化交易系统中按要求上传相应证明文件并进行电子签章。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4、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5、联合体：本项目不接受联合体竞争性磋商。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新合街道办事处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西安市灞桥区新合街道24号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王老师、高老师、张老师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029-83416108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采购包1：2,875,500.00元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3、成交单位的代理服务费交纳信息 银行户名：陕西中润国际招标有限公司 开户银行：中信银行西安雁塔西路支行 账 号：7251310182600086350 联 系 人：李帆 联系电话：029-87321229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新合街道办事处</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新合街道办事处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新合街道办事处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2,875,500.00</w:t>
      </w:r>
    </w:p>
    <w:p>
      <w:pPr>
        <w:pStyle w:val="null3"/>
      </w:pPr>
      <w:r>
        <w:rPr>
          <w:rFonts w:ascii="仿宋_GB2312" w:hAnsi="仿宋_GB2312" w:cs="仿宋_GB2312" w:eastAsia="仿宋_GB2312"/>
        </w:rPr>
        <w:t>采购包最高限价（元）: 2,875,500.00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西延高铁330千伏供电工程征迁项目南郑村、马寨村、呼侯村铲青覆盖及垃圾清运等工程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2,875,500.00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标的名称：西延高铁330千伏供电工程征迁项目南郑村、马寨村、呼侯村铲青覆盖及垃圾清运等工程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一、概况及实施范围</w:t>
            </w:r>
          </w:p>
          <w:p>
            <w:pPr>
              <w:pStyle w:val="null3"/>
            </w:pPr>
            <w:r>
              <w:rPr>
                <w:rFonts w:ascii="仿宋_GB2312" w:hAnsi="仿宋_GB2312" w:cs="仿宋_GB2312" w:eastAsia="仿宋_GB2312"/>
              </w:rPr>
              <w:t>1、工程内容：采购西延高铁330千伏供电工程征迁项目南郑村、马寨村、呼侯村铲青覆盖及垃圾清运等工程。主要包括垃圾清运1.6万方，围墙圈建1300米等相关工程。</w:t>
            </w:r>
          </w:p>
          <w:p>
            <w:pPr>
              <w:pStyle w:val="null3"/>
            </w:pPr>
            <w:r>
              <w:rPr>
                <w:rFonts w:ascii="仿宋_GB2312" w:hAnsi="仿宋_GB2312" w:cs="仿宋_GB2312" w:eastAsia="仿宋_GB2312"/>
              </w:rPr>
              <w:t>2.工程地点：新合街道南郑村、马寨村、呼侯村。</w:t>
            </w:r>
          </w:p>
          <w:p>
            <w:pPr>
              <w:pStyle w:val="null3"/>
            </w:pPr>
            <w:r>
              <w:rPr>
                <w:rFonts w:ascii="仿宋_GB2312" w:hAnsi="仿宋_GB2312" w:cs="仿宋_GB2312" w:eastAsia="仿宋_GB2312"/>
              </w:rPr>
              <w:t>3.工期：自合同签订之日60日历天。</w:t>
            </w:r>
          </w:p>
          <w:p>
            <w:pPr>
              <w:pStyle w:val="null3"/>
            </w:pPr>
            <w:r>
              <w:rPr>
                <w:rFonts w:ascii="仿宋_GB2312" w:hAnsi="仿宋_GB2312" w:cs="仿宋_GB2312" w:eastAsia="仿宋_GB2312"/>
              </w:rPr>
              <w:t>二、执行的法律法规、技术规范</w:t>
            </w:r>
          </w:p>
          <w:p>
            <w:pPr>
              <w:pStyle w:val="null3"/>
            </w:pPr>
            <w:r>
              <w:rPr>
                <w:rFonts w:ascii="仿宋_GB2312" w:hAnsi="仿宋_GB2312" w:cs="仿宋_GB2312" w:eastAsia="仿宋_GB2312"/>
              </w:rPr>
              <w:t>（一）执行的法律法规、技术规范包括但不限于以下规定、规范、标准：</w:t>
            </w:r>
          </w:p>
          <w:p>
            <w:pPr>
              <w:pStyle w:val="null3"/>
            </w:pPr>
            <w:r>
              <w:rPr>
                <w:rFonts w:ascii="仿宋_GB2312" w:hAnsi="仿宋_GB2312" w:cs="仿宋_GB2312" w:eastAsia="仿宋_GB2312"/>
              </w:rPr>
              <w:t>《安全生产法》</w:t>
            </w:r>
          </w:p>
          <w:p>
            <w:pPr>
              <w:pStyle w:val="null3"/>
            </w:pPr>
            <w:r>
              <w:rPr>
                <w:rFonts w:ascii="仿宋_GB2312" w:hAnsi="仿宋_GB2312" w:cs="仿宋_GB2312" w:eastAsia="仿宋_GB2312"/>
              </w:rPr>
              <w:t>《建设工程安全生产管理条例》</w:t>
            </w:r>
          </w:p>
          <w:p>
            <w:pPr>
              <w:pStyle w:val="null3"/>
            </w:pPr>
            <w:r>
              <w:rPr>
                <w:rFonts w:ascii="仿宋_GB2312" w:hAnsi="仿宋_GB2312" w:cs="仿宋_GB2312" w:eastAsia="仿宋_GB2312"/>
              </w:rPr>
              <w:t>《西安市扬尘污染防治条例》</w:t>
            </w:r>
          </w:p>
          <w:p>
            <w:pPr>
              <w:pStyle w:val="null3"/>
            </w:pPr>
            <w:r>
              <w:rPr>
                <w:rFonts w:ascii="仿宋_GB2312" w:hAnsi="仿宋_GB2312" w:cs="仿宋_GB2312" w:eastAsia="仿宋_GB2312"/>
              </w:rPr>
              <w:t>《西安市城市房屋拆迁管理办法》</w:t>
            </w:r>
          </w:p>
          <w:p>
            <w:pPr>
              <w:pStyle w:val="null3"/>
            </w:pPr>
            <w:r>
              <w:rPr>
                <w:rFonts w:ascii="仿宋_GB2312" w:hAnsi="仿宋_GB2312" w:cs="仿宋_GB2312" w:eastAsia="仿宋_GB2312"/>
              </w:rPr>
              <w:t>《西安市建筑垃圾管理条例》</w:t>
            </w:r>
          </w:p>
          <w:p>
            <w:pPr>
              <w:pStyle w:val="null3"/>
            </w:pPr>
            <w:r>
              <w:rPr>
                <w:rFonts w:ascii="仿宋_GB2312" w:hAnsi="仿宋_GB2312" w:cs="仿宋_GB2312" w:eastAsia="仿宋_GB2312"/>
              </w:rPr>
              <w:t>如有最新的法律法规、技术规范发布，按最新的文件执行。</w:t>
            </w:r>
          </w:p>
          <w:p>
            <w:pPr>
              <w:pStyle w:val="null3"/>
            </w:pPr>
            <w:r>
              <w:rPr>
                <w:rFonts w:ascii="仿宋_GB2312" w:hAnsi="仿宋_GB2312" w:cs="仿宋_GB2312" w:eastAsia="仿宋_GB2312"/>
              </w:rPr>
              <w:t>三、质量标准</w:t>
            </w:r>
          </w:p>
          <w:p>
            <w:pPr>
              <w:pStyle w:val="null3"/>
            </w:pPr>
            <w:r>
              <w:rPr>
                <w:rFonts w:ascii="仿宋_GB2312" w:hAnsi="仿宋_GB2312" w:cs="仿宋_GB2312" w:eastAsia="仿宋_GB2312"/>
              </w:rPr>
              <w:t>1、项目范围内全部采用湿法作业、现场无扬尘。</w:t>
            </w:r>
          </w:p>
          <w:p>
            <w:pPr>
              <w:pStyle w:val="null3"/>
            </w:pPr>
            <w:r>
              <w:rPr>
                <w:rFonts w:ascii="仿宋_GB2312" w:hAnsi="仿宋_GB2312" w:cs="仿宋_GB2312" w:eastAsia="仿宋_GB2312"/>
              </w:rPr>
              <w:t>2、按城市管理部门要求安装联网监控和空气检测装置等，确保设备正常使用。</w:t>
            </w:r>
          </w:p>
          <w:p>
            <w:pPr>
              <w:pStyle w:val="null3"/>
            </w:pPr>
            <w:r>
              <w:rPr>
                <w:rFonts w:ascii="仿宋_GB2312" w:hAnsi="仿宋_GB2312" w:cs="仿宋_GB2312" w:eastAsia="仿宋_GB2312"/>
              </w:rPr>
              <w:t>3、施工单位负责协调村内及周边关系。</w:t>
            </w:r>
          </w:p>
          <w:p>
            <w:pPr>
              <w:pStyle w:val="null3"/>
            </w:pPr>
            <w:r>
              <w:rPr>
                <w:rFonts w:ascii="仿宋_GB2312" w:hAnsi="仿宋_GB2312" w:cs="仿宋_GB2312" w:eastAsia="仿宋_GB2312"/>
              </w:rPr>
              <w:t>四、工程量清单</w:t>
            </w:r>
          </w:p>
          <w:tbl>
            <w:tblPr>
              <w:tblBorders>
                <w:top w:val="none" w:color="000000" w:sz="4"/>
                <w:left w:val="none" w:color="000000" w:sz="4"/>
                <w:bottom w:val="none" w:color="000000" w:sz="4"/>
                <w:right w:val="none" w:color="000000" w:sz="4"/>
                <w:insideH w:val="none"/>
                <w:insideV w:val="none"/>
              </w:tblBorders>
            </w:tblPr>
            <w:tblGrid>
              <w:gridCol w:w="251"/>
              <w:gridCol w:w="455"/>
              <w:gridCol w:w="650"/>
              <w:gridCol w:w="1197"/>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清单项目</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工程量(暂定）</w:t>
                  </w:r>
                </w:p>
              </w:tc>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最高含税完全综合单价限价</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征地铲青</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58亩</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1500元/亩</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垃圾清运</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16000m³</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100元/m³</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防尘网覆盖</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65亩</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300元/亩</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地面破除</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11000㎡</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18元/㎡</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厂房拆除</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7000㎡</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18元/㎡</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围墙圈建</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1300米</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650元/m</w:t>
                  </w:r>
                </w:p>
              </w:tc>
            </w:tr>
          </w:tbl>
          <w:p>
            <w:pPr>
              <w:pStyle w:val="null3"/>
            </w:pPr>
            <w:r>
              <w:rPr>
                <w:rFonts w:ascii="仿宋_GB2312" w:hAnsi="仿宋_GB2312" w:cs="仿宋_GB2312" w:eastAsia="仿宋_GB2312"/>
              </w:rPr>
              <w:t>注：1、本工程量为暂定工程量，最终以实际工程量为准据实结算；</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1、根据《西安市扬尘污染防治条例》本次工程应考虑治污减霾和降尘费用；</w:t>
            </w:r>
          </w:p>
          <w:p>
            <w:pPr>
              <w:pStyle w:val="null3"/>
            </w:pPr>
            <w:r>
              <w:rPr>
                <w:rFonts w:ascii="仿宋_GB2312" w:hAnsi="仿宋_GB2312" w:cs="仿宋_GB2312" w:eastAsia="仿宋_GB2312"/>
              </w:rPr>
              <w:t>2、为保证施工现场的秩序及安全，降低施工影响，应新建临时围挡；</w:t>
            </w:r>
          </w:p>
          <w:p>
            <w:pPr>
              <w:pStyle w:val="null3"/>
            </w:pPr>
            <w:r>
              <w:rPr>
                <w:rFonts w:ascii="仿宋_GB2312" w:hAnsi="仿宋_GB2312" w:cs="仿宋_GB2312" w:eastAsia="仿宋_GB2312"/>
              </w:rPr>
              <w:t>3、对可能发生的零星工程，应适当考虑相应机械台班；</w:t>
            </w:r>
          </w:p>
          <w:p>
            <w:pPr>
              <w:pStyle w:val="null3"/>
            </w:pPr>
            <w:r>
              <w:rPr>
                <w:rFonts w:ascii="仿宋_GB2312" w:hAnsi="仿宋_GB2312" w:cs="仿宋_GB2312" w:eastAsia="仿宋_GB2312"/>
              </w:rPr>
              <w:t>4、因施工范围较大，为保证施工安全有序进行，应派驻专人看管现场。</w:t>
            </w:r>
          </w:p>
          <w:p>
            <w:pPr>
              <w:pStyle w:val="null3"/>
              <w:jc w:val="both"/>
            </w:pPr>
            <w:r>
              <w:rPr>
                <w:rFonts w:ascii="仿宋_GB2312" w:hAnsi="仿宋_GB2312" w:cs="仿宋_GB2312" w:eastAsia="仿宋_GB2312"/>
              </w:rPr>
              <w:t>5、及时向采购人以书面形式汇报工程进度、工程量及安全情况</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3.3.2本项目专门面向中小企业，供应商应为中型、小型、微型企业或监狱企业或残疾人福利性单位。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3.4.3落实政府采购政策：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 ③、《财政部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④、《财政部 国家发展改革委 信息产业部 关于印发无线局域网产品政府采购实施意见的通知》（财库〔2005〕366号）、《国家互联网信息办公室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号）、陕西省财政厅关于印发《陕西省中小企业政府采购信用融资办法》（陕财办采〔2018〕23 号）。 ⑥、国务院办公厅《关于建立政府强制采购节能产品制度的通知》（国办发〔2007〕51号） 《财政部 发展改革委 生态环境部 市场监管总局关于调整优化节能产品、环境标志产品政府采购执行机制的通知》（财库〔2019〕9号）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提供供应商2024年1月至今任意一个月已缴纳的完税凭证或税务机关开具的完税证明（任意税种）（银行出具的缴税凭证或税务机关出具的证明的复印件，并加盖本单位公章）。依法免税的供应商，应提供相应文件证明其依法免税。（3）提供供应商2024年1月至今任意一个月已缴纳的社会保障资金缴存单据或社保机构开具的社会保险参保缴费情况证明，并加盖本单位公章。不需要缴纳社会保障资金的供应商，应提供相应文件证明其不需要缴纳社会保障资金；（4）具备履行合同所必需的设备和专业技术能力的承诺；（5）供应商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资质和专业要求：项目经理须具备建筑工程专业二级（含）及以上注册建造师证书和有效的安全生产考核合格证（建安B证），且未担任其他在建工程项目（供应商自主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供应商具备建设行政主管部门颁发的建筑工程施工总承包三级（含）及以上资质，且具有有效的安全生产许可证；供应商需在项目电子化交易系统中按要求上传相应证明文件并进行电子签章。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首次磋商报价表及分项报价表.docx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按磋商文件格式要求加盖了供应商公章和有法定代表人（或单位负责人）或其授权代表签字或加盖人名章</w:t>
            </w:r>
          </w:p>
        </w:tc>
        <w:tc>
          <w:tcPr>
            <w:tcW w:type="dxa" w:w="1661"/>
          </w:tcPr>
          <w:p>
            <w:pPr>
              <w:pStyle w:val="null3"/>
            </w:pPr>
            <w:r>
              <w:rPr>
                <w:rFonts w:ascii="仿宋_GB2312" w:hAnsi="仿宋_GB2312" w:cs="仿宋_GB2312" w:eastAsia="仿宋_GB2312"/>
              </w:rPr>
              <w:t>业绩一览表.docx 中小企业声明函 技术服务合同条款及其他商务要求应答表 响应文件封面 政府采购供应商拒绝政府采购领域商业贿赂承诺书.docx 残疾人福利性单位声明函 施工方案.docx 报价函 首次磋商报价表及分项报价表.docx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报价函 首次磋商报价表及分项报价表.docx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提供2022年1月以来类似项目业绩合同(以合同签订日期为准)，每份计2.5分，满分10分。（注：以上证明文件在磋商响应文件中附业绩合同扫描件。）未提供不得分。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本项目实施方案，方案总体思路清晰、合理、可操作性强、可执行程度强，且能很好推动项目，得（7-10]分；方案总体思路较为清晰、合理、可操作性较强、可执行程度较强，得(4-7]分；方案内容一般，得(0-4]分，本项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项目经理部组成及劳动力投入，人员搭配合理，数量充足，经验丰富，证明材料详尽计(4-7]分，人员搭配较为合理，数量较充足，经验不足，证明材料不够详尽计(0-4]分，本项满分7分；未提供不得分。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施工机械及工器具的配备</w:t>
            </w:r>
          </w:p>
        </w:tc>
        <w:tc>
          <w:tcPr>
            <w:tcW w:type="dxa" w:w="2492"/>
          </w:tcPr>
          <w:p>
            <w:pPr>
              <w:pStyle w:val="null3"/>
            </w:pPr>
            <w:r>
              <w:rPr>
                <w:rFonts w:ascii="仿宋_GB2312" w:hAnsi="仿宋_GB2312" w:cs="仿宋_GB2312" w:eastAsia="仿宋_GB2312"/>
              </w:rPr>
              <w:t>施工机械及工器具的配备情况，机械、设备安排合理、完整计(4-7]分，机械、设备安排简单计(0-4]分，本项满分7分；未提供不得分。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拟投入车辆配备情况，车辆数量充足、车况好、使用年限短计(3-6]分，车辆数量基本满足、车况一般、使用年限长计(0-3]分，本项满分6分；未提供不得分。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确保本项目质量的技术组织措施，措施内容科学可行、有针对性且内容详细计(4-7]分，措施内容较为可行、针对性不强、内容简单计(0-4]分，本项满分7分；未提供不得分。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确保治污减霾和防尘污染的技术组织措施，措施内容科学可行、有针对性且内容详细计(4-7]分，措施内容较为可行、针对性不强、内容简单计(0-4]分，本项满分7分；未提供不得分。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 容科学可行、有针对性且内容详细计(4-7]分，措施内容较为可行、针对性不强、内容简单计(0-4]分，本项满分7分；未提供不得分。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确保工期的技术组织措施，措施内容科学可行、有针对性且内容详细计(3-5]分，措施内容较为可行、针对性不强、内容简单计（0-3]分，本项满分5分；未提供不得分。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项目周边关系协调方案</w:t>
            </w:r>
          </w:p>
        </w:tc>
        <w:tc>
          <w:tcPr>
            <w:tcW w:type="dxa" w:w="2492"/>
          </w:tcPr>
          <w:p>
            <w:pPr>
              <w:pStyle w:val="null3"/>
            </w:pPr>
            <w:r>
              <w:rPr>
                <w:rFonts w:ascii="仿宋_GB2312" w:hAnsi="仿宋_GB2312" w:cs="仿宋_GB2312" w:eastAsia="仿宋_GB2312"/>
              </w:rPr>
              <w:t>项目周边关系协调方案，包括协调项目当地及周边关系承诺及安全无重大伤亡等内容，方案合理、可行性高，对项目推进作用强得（2-4]分;方案一般、可行性一般，能推进项目实施得（0-2]分；未提供不得分。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详见附件：拟签订采购合同文本--西延高铁330千伏供电工程征迁项目南郑村、马寨村、呼侯村铲青覆盖及垃圾清运等工程.docx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